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9C9F2" w14:textId="32824A45" w:rsidR="00842DE6" w:rsidRPr="00DD3228" w:rsidRDefault="00842DE6" w:rsidP="00842DE6">
      <w:pPr>
        <w:pStyle w:val="TdocHeader2"/>
        <w:rPr>
          <w:rFonts w:eastAsia="맑은 고딕" w:cs="Arial"/>
          <w:bCs/>
          <w:sz w:val="24"/>
          <w:szCs w:val="24"/>
          <w:lang w:eastAsia="ko-KR"/>
        </w:rPr>
      </w:pPr>
      <w:bookmarkStart w:id="0" w:name="OLE_LINK1"/>
      <w:bookmarkStart w:id="1" w:name="OLE_LINK2"/>
      <w:r>
        <w:rPr>
          <w:rFonts w:eastAsia="Times New Roman" w:cs="Arial"/>
          <w:bCs/>
          <w:sz w:val="24"/>
          <w:szCs w:val="24"/>
          <w:lang w:eastAsia="zh-CN"/>
        </w:rPr>
        <w:t>3GPP TSG RAN WG1 Meeting #9</w:t>
      </w:r>
      <w:r w:rsidR="00D46094">
        <w:rPr>
          <w:rFonts w:eastAsia="맑은 고딕" w:cs="Arial" w:hint="eastAsia"/>
          <w:bCs/>
          <w:sz w:val="24"/>
          <w:szCs w:val="24"/>
          <w:lang w:eastAsia="ko-KR"/>
        </w:rPr>
        <w:t>4</w:t>
      </w:r>
      <w:r w:rsidRPr="00842DE6">
        <w:rPr>
          <w:rFonts w:eastAsia="Times New Roman" w:cs="Arial"/>
          <w:bCs/>
          <w:sz w:val="24"/>
          <w:szCs w:val="24"/>
          <w:lang w:eastAsia="zh-CN"/>
        </w:rPr>
        <w:tab/>
        <w:t>R1-18</w:t>
      </w:r>
      <w:r w:rsidR="00DD3228">
        <w:rPr>
          <w:rFonts w:eastAsia="맑은 고딕" w:cs="Arial" w:hint="eastAsia"/>
          <w:bCs/>
          <w:sz w:val="24"/>
          <w:szCs w:val="24"/>
          <w:lang w:eastAsia="ko-KR"/>
        </w:rPr>
        <w:t>0852</w:t>
      </w:r>
      <w:r w:rsidR="00B06757">
        <w:rPr>
          <w:rFonts w:eastAsia="맑은 고딕" w:cs="Arial" w:hint="eastAsia"/>
          <w:bCs/>
          <w:sz w:val="24"/>
          <w:szCs w:val="24"/>
          <w:lang w:eastAsia="ko-KR"/>
        </w:rPr>
        <w:t>3</w:t>
      </w:r>
    </w:p>
    <w:p w14:paraId="7D146E6B" w14:textId="46A4D42F" w:rsidR="00386965" w:rsidRDefault="00D46094" w:rsidP="00842DE6">
      <w:pPr>
        <w:pStyle w:val="TdocHeader2"/>
        <w:rPr>
          <w:rFonts w:eastAsia="맑은 고딕"/>
          <w:sz w:val="22"/>
          <w:lang w:val="en-US" w:eastAsia="ko-KR"/>
        </w:rPr>
      </w:pPr>
      <w:r>
        <w:rPr>
          <w:rFonts w:eastAsia="맑은 고딕" w:cs="Arial" w:hint="eastAsia"/>
          <w:bCs/>
          <w:sz w:val="24"/>
          <w:szCs w:val="24"/>
          <w:lang w:eastAsia="ko-KR"/>
        </w:rPr>
        <w:t>Gothenburg</w:t>
      </w:r>
      <w:r w:rsidR="00842DE6" w:rsidRPr="00842DE6">
        <w:rPr>
          <w:rFonts w:eastAsia="Times New Roman" w:cs="Arial"/>
          <w:bCs/>
          <w:sz w:val="24"/>
          <w:szCs w:val="24"/>
          <w:lang w:eastAsia="zh-CN"/>
        </w:rPr>
        <w:t xml:space="preserve">, </w:t>
      </w:r>
      <w:r>
        <w:rPr>
          <w:rFonts w:eastAsia="맑은 고딕" w:cs="Arial" w:hint="eastAsia"/>
          <w:bCs/>
          <w:sz w:val="24"/>
          <w:szCs w:val="24"/>
          <w:lang w:eastAsia="ko-KR"/>
        </w:rPr>
        <w:t>Sweden</w:t>
      </w:r>
      <w:r w:rsidR="00842DE6" w:rsidRPr="00842DE6">
        <w:rPr>
          <w:rFonts w:eastAsia="Times New Roman" w:cs="Arial"/>
          <w:bCs/>
          <w:sz w:val="24"/>
          <w:szCs w:val="24"/>
          <w:lang w:eastAsia="zh-CN"/>
        </w:rPr>
        <w:t xml:space="preserve">, </w:t>
      </w:r>
      <w:r>
        <w:rPr>
          <w:rFonts w:eastAsia="맑은 고딕" w:cs="Arial" w:hint="eastAsia"/>
          <w:bCs/>
          <w:sz w:val="24"/>
          <w:szCs w:val="24"/>
          <w:lang w:eastAsia="ko-KR"/>
        </w:rPr>
        <w:t>August</w:t>
      </w:r>
      <w:r w:rsidR="00842DE6" w:rsidRPr="00842DE6">
        <w:rPr>
          <w:rFonts w:eastAsia="Times New Roman" w:cs="Arial"/>
          <w:bCs/>
          <w:sz w:val="24"/>
          <w:szCs w:val="24"/>
          <w:lang w:eastAsia="zh-CN"/>
        </w:rPr>
        <w:t xml:space="preserve"> 2</w:t>
      </w:r>
      <w:r>
        <w:rPr>
          <w:rFonts w:eastAsia="맑은 고딕" w:cs="Arial" w:hint="eastAsia"/>
          <w:bCs/>
          <w:sz w:val="24"/>
          <w:szCs w:val="24"/>
          <w:lang w:eastAsia="ko-KR"/>
        </w:rPr>
        <w:t>0</w:t>
      </w:r>
      <w:r w:rsidR="00842DE6" w:rsidRPr="005C38EF">
        <w:rPr>
          <w:rFonts w:eastAsia="Times New Roman" w:cs="Arial"/>
          <w:bCs/>
          <w:sz w:val="24"/>
          <w:szCs w:val="24"/>
          <w:vertAlign w:val="superscript"/>
          <w:lang w:eastAsia="zh-CN"/>
        </w:rPr>
        <w:t>t</w:t>
      </w:r>
      <w:r w:rsidRPr="005C38EF">
        <w:rPr>
          <w:rFonts w:eastAsia="맑은 고딕" w:cs="Arial" w:hint="eastAsia"/>
          <w:bCs/>
          <w:sz w:val="24"/>
          <w:szCs w:val="24"/>
          <w:vertAlign w:val="superscript"/>
          <w:lang w:eastAsia="ko-KR"/>
        </w:rPr>
        <w:t>h</w:t>
      </w:r>
      <w:r w:rsidR="00842DE6" w:rsidRPr="00842DE6">
        <w:rPr>
          <w:rFonts w:eastAsia="Times New Roman" w:cs="Arial"/>
          <w:bCs/>
          <w:sz w:val="24"/>
          <w:szCs w:val="24"/>
          <w:lang w:eastAsia="zh-CN"/>
        </w:rPr>
        <w:t xml:space="preserve"> – 2</w:t>
      </w:r>
      <w:r>
        <w:rPr>
          <w:rFonts w:eastAsia="맑은 고딕" w:cs="Arial" w:hint="eastAsia"/>
          <w:bCs/>
          <w:sz w:val="24"/>
          <w:szCs w:val="24"/>
          <w:lang w:eastAsia="ko-KR"/>
        </w:rPr>
        <w:t>4</w:t>
      </w:r>
      <w:r w:rsidR="00842DE6" w:rsidRPr="005C38EF">
        <w:rPr>
          <w:rFonts w:eastAsia="Times New Roman" w:cs="Arial"/>
          <w:bCs/>
          <w:sz w:val="24"/>
          <w:szCs w:val="24"/>
          <w:vertAlign w:val="superscript"/>
          <w:lang w:eastAsia="zh-CN"/>
        </w:rPr>
        <w:t>th</w:t>
      </w:r>
      <w:r w:rsidR="00842DE6" w:rsidRPr="00842DE6">
        <w:rPr>
          <w:rFonts w:eastAsia="Times New Roman" w:cs="Arial"/>
          <w:bCs/>
          <w:sz w:val="24"/>
          <w:szCs w:val="24"/>
          <w:lang w:eastAsia="zh-CN"/>
        </w:rPr>
        <w:t xml:space="preserve">, 2018 </w:t>
      </w:r>
      <w:r w:rsidR="00B0742A">
        <w:rPr>
          <w:rFonts w:eastAsia="맑은 고딕"/>
          <w:sz w:val="22"/>
          <w:lang w:val="en-US" w:eastAsia="ko-KR"/>
        </w:rPr>
        <w:pict w14:anchorId="21743F2B">
          <v:rect id="_x0000_i1025" style="width:481.95pt;height:1.5pt" o:hralign="center" o:hrstd="t" o:hrnoshade="t" o:hr="t" fillcolor="black [3213]" stroked="f"/>
        </w:pict>
      </w:r>
    </w:p>
    <w:p w14:paraId="77FDCD1F" w14:textId="778960DC"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D46094">
        <w:rPr>
          <w:rFonts w:hint="eastAsia"/>
          <w:sz w:val="22"/>
          <w:lang w:val="en-US" w:eastAsia="ko-KR"/>
        </w:rPr>
        <w:t>7.2.4.1.</w:t>
      </w:r>
      <w:r w:rsidR="00B06757">
        <w:rPr>
          <w:rFonts w:hint="eastAsia"/>
          <w:sz w:val="22"/>
          <w:lang w:val="en-US" w:eastAsia="ko-KR"/>
        </w:rPr>
        <w:t>5</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02DF7906"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B06757" w:rsidRPr="00B06757">
        <w:rPr>
          <w:sz w:val="22"/>
          <w:lang w:val="en-US" w:eastAsia="ko-KR"/>
        </w:rPr>
        <w:t>Discussion on remaining aspects of simulation assumptions</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41B29ED9" w14:textId="62A40ACE" w:rsidR="0065253E" w:rsidRPr="0065253E" w:rsidRDefault="0065253E" w:rsidP="0061496C">
      <w:pPr>
        <w:pStyle w:val="LGTdoc"/>
        <w:spacing w:before="100" w:beforeAutospacing="1" w:afterLines="0" w:after="100" w:afterAutospacing="1" w:line="240" w:lineRule="auto"/>
        <w:ind w:firstLine="432"/>
        <w:rPr>
          <w:rFonts w:eastAsia="맑은 고딕"/>
          <w:iCs/>
          <w:kern w:val="0"/>
          <w:szCs w:val="22"/>
          <w:lang w:val="en-US"/>
        </w:rPr>
      </w:pPr>
      <w:bookmarkStart w:id="4" w:name="_Ref174151459"/>
      <w:bookmarkStart w:id="5" w:name="_Ref189809556"/>
      <w:r w:rsidRPr="0065253E">
        <w:rPr>
          <w:rFonts w:eastAsia="맑은 고딕"/>
          <w:iCs/>
          <w:kern w:val="0"/>
          <w:szCs w:val="22"/>
          <w:lang w:val="en-US"/>
        </w:rPr>
        <w:t xml:space="preserve">A new study item on evaluation methodology of new V2X use cases for LTE and NR was approved in [1]. This paper provides our view on the </w:t>
      </w:r>
      <w:r>
        <w:rPr>
          <w:rFonts w:eastAsia="맑은 고딕" w:hint="eastAsia"/>
          <w:iCs/>
          <w:kern w:val="0"/>
          <w:szCs w:val="22"/>
          <w:lang w:val="en-US"/>
        </w:rPr>
        <w:t>remaining aspects of simulation assumption.</w:t>
      </w:r>
    </w:p>
    <w:p w14:paraId="63E358AC" w14:textId="557F2B78" w:rsidR="00770ADC" w:rsidRPr="0065253E" w:rsidRDefault="00770ADC" w:rsidP="00F77236">
      <w:pPr>
        <w:rPr>
          <w:rFonts w:ascii="Times New Roman" w:eastAsia="맑은 고딕" w:hAnsi="Times New Roman"/>
          <w:sz w:val="22"/>
          <w:szCs w:val="22"/>
          <w:lang w:val="en-US" w:eastAsia="ko-KR"/>
        </w:rPr>
      </w:pPr>
    </w:p>
    <w:p w14:paraId="72252DC2" w14:textId="6602B77C" w:rsidR="00460907" w:rsidRDefault="001D7B73" w:rsidP="00196BA5">
      <w:pPr>
        <w:pStyle w:val="1"/>
        <w:rPr>
          <w:rFonts w:eastAsia="맑은 고딕"/>
          <w:lang w:val="en-US" w:eastAsia="ko-KR"/>
        </w:rPr>
      </w:pPr>
      <w:r>
        <w:rPr>
          <w:rFonts w:eastAsia="맑은 고딕" w:hint="eastAsia"/>
          <w:lang w:val="en-US" w:eastAsia="ko-KR"/>
        </w:rPr>
        <w:t>Discussion</w:t>
      </w:r>
    </w:p>
    <w:p w14:paraId="778E77E3" w14:textId="77777777" w:rsidR="00AD5F97" w:rsidRDefault="00AD5F97" w:rsidP="00AD5F97">
      <w:pPr>
        <w:rPr>
          <w:rFonts w:eastAsia="맑은 고딕"/>
          <w:lang w:val="en-US" w:eastAsia="ko-KR"/>
        </w:rPr>
      </w:pPr>
    </w:p>
    <w:p w14:paraId="4B35F8B1" w14:textId="6E332B61" w:rsidR="00AD5F97" w:rsidRDefault="00AD5F97" w:rsidP="00AD5F97">
      <w:pPr>
        <w:pStyle w:val="2"/>
        <w:rPr>
          <w:rFonts w:eastAsia="맑은 고딕"/>
          <w:lang w:eastAsia="ko-KR"/>
        </w:rPr>
      </w:pPr>
      <w:r>
        <w:rPr>
          <w:rFonts w:eastAsia="맑은 고딕" w:hint="eastAsia"/>
          <w:lang w:eastAsia="ko-KR"/>
        </w:rPr>
        <w:t>Performance metric</w:t>
      </w:r>
    </w:p>
    <w:p w14:paraId="35E40C4B" w14:textId="3B2B7983" w:rsidR="00701D4F" w:rsidRDefault="00701D4F" w:rsidP="0061496C">
      <w:pPr>
        <w:pStyle w:val="LGTdoc"/>
        <w:spacing w:before="100" w:beforeAutospacing="1" w:afterLines="0" w:after="100" w:afterAutospacing="1" w:line="240" w:lineRule="auto"/>
        <w:ind w:firstLine="432"/>
        <w:rPr>
          <w:rFonts w:eastAsia="맑은 고딕"/>
          <w:iCs/>
          <w:kern w:val="0"/>
          <w:szCs w:val="22"/>
          <w:lang w:val="en-US"/>
        </w:rPr>
      </w:pPr>
      <w:r>
        <w:rPr>
          <w:rFonts w:eastAsia="맑은 고딕" w:hint="eastAsia"/>
          <w:iCs/>
          <w:kern w:val="0"/>
          <w:szCs w:val="22"/>
          <w:lang w:val="en-US"/>
        </w:rPr>
        <w:t>In the section 6.1.5 in TR 37.885, the followings are captured;</w:t>
      </w:r>
    </w:p>
    <w:tbl>
      <w:tblPr>
        <w:tblStyle w:val="af9"/>
        <w:tblW w:w="0" w:type="auto"/>
        <w:tblLook w:val="04A0" w:firstRow="1" w:lastRow="0" w:firstColumn="1" w:lastColumn="0" w:noHBand="0" w:noVBand="1"/>
      </w:tblPr>
      <w:tblGrid>
        <w:gridCol w:w="9629"/>
      </w:tblGrid>
      <w:tr w:rsidR="00701D4F" w14:paraId="2A994E06" w14:textId="77777777" w:rsidTr="00701D4F">
        <w:tc>
          <w:tcPr>
            <w:tcW w:w="9837" w:type="dxa"/>
          </w:tcPr>
          <w:p w14:paraId="1A58A323" w14:textId="77777777" w:rsidR="00701D4F" w:rsidRPr="00701D4F" w:rsidRDefault="00701D4F" w:rsidP="00701D4F">
            <w:pPr>
              <w:spacing w:after="180"/>
              <w:jc w:val="left"/>
              <w:rPr>
                <w:rFonts w:ascii="Times New Roman" w:eastAsia="맑은 고딕" w:hAnsi="Times New Roman"/>
                <w:lang w:val="en-US" w:eastAsia="ko-KR"/>
              </w:rPr>
            </w:pPr>
            <w:r w:rsidRPr="00701D4F">
              <w:rPr>
                <w:rFonts w:ascii="Times New Roman" w:eastAsia="맑은 고딕" w:hAnsi="Times New Roman"/>
                <w:lang w:val="en-US" w:eastAsia="ko-KR"/>
              </w:rPr>
              <w:t>Baseline is to evaluate unicast, multicast, and broadcast in separate simulations.</w:t>
            </w:r>
            <w:r w:rsidRPr="00701D4F">
              <w:rPr>
                <w:rFonts w:ascii="Times New Roman" w:eastAsia="맑은 고딕" w:hAnsi="Times New Roman" w:hint="eastAsia"/>
                <w:lang w:val="en-US" w:eastAsia="ko-KR"/>
              </w:rPr>
              <w:t xml:space="preserve"> It is noted that, </w:t>
            </w:r>
            <w:r w:rsidRPr="00701D4F">
              <w:rPr>
                <w:rFonts w:ascii="Times New Roman" w:eastAsia="맑은 고딕" w:hAnsi="Times New Roman"/>
                <w:lang w:val="en-US" w:eastAsia="ko-KR"/>
              </w:rPr>
              <w:t>in evaluating technical solutions, scenarios such as mixture of unicast, multicast, and broadcast, mixture of periodic and aperiodic traffic, etc., may be discussed</w:t>
            </w:r>
            <w:r w:rsidRPr="00701D4F">
              <w:rPr>
                <w:rFonts w:ascii="Times New Roman" w:eastAsia="맑은 고딕" w:hAnsi="Times New Roman" w:hint="eastAsia"/>
                <w:lang w:val="en-US" w:eastAsia="ko-KR"/>
              </w:rPr>
              <w:t>.</w:t>
            </w:r>
          </w:p>
          <w:p w14:paraId="55773015" w14:textId="77777777" w:rsidR="00701D4F" w:rsidRPr="00701D4F" w:rsidRDefault="00701D4F" w:rsidP="00701D4F">
            <w:pPr>
              <w:spacing w:after="180"/>
              <w:jc w:val="left"/>
              <w:rPr>
                <w:rFonts w:ascii="Times New Roman" w:eastAsia="맑은 고딕" w:hAnsi="Times New Roman"/>
                <w:lang w:val="en-US" w:eastAsia="ko-KR"/>
              </w:rPr>
            </w:pPr>
            <w:r w:rsidRPr="00701D4F">
              <w:rPr>
                <w:rFonts w:ascii="Times New Roman" w:eastAsia="맑은 고딕" w:hAnsi="Times New Roman" w:hint="eastAsia"/>
                <w:lang w:val="en-US" w:eastAsia="ko-KR"/>
              </w:rPr>
              <w:t>In evaluating broadcast, t</w:t>
            </w:r>
            <w:r w:rsidRPr="00701D4F">
              <w:rPr>
                <w:rFonts w:ascii="Times New Roman" w:eastAsia="맑은 고딕" w:hAnsi="Times New Roman"/>
                <w:lang w:val="en-US" w:eastAsia="ko-KR"/>
              </w:rPr>
              <w:t>he baseline is all the vehicles generate messages</w:t>
            </w:r>
            <w:r w:rsidRPr="00701D4F">
              <w:rPr>
                <w:rFonts w:ascii="Times New Roman" w:eastAsia="맑은 고딕" w:hAnsi="Times New Roman" w:hint="eastAsia"/>
                <w:lang w:val="en-US" w:eastAsia="ko-KR"/>
              </w:rPr>
              <w:t>.</w:t>
            </w:r>
          </w:p>
          <w:p w14:paraId="587C8293" w14:textId="77777777" w:rsidR="00701D4F" w:rsidRPr="00701D4F" w:rsidRDefault="00701D4F" w:rsidP="00701D4F">
            <w:pPr>
              <w:spacing w:after="180"/>
              <w:jc w:val="left"/>
              <w:rPr>
                <w:rFonts w:ascii="Times New Roman" w:eastAsia="맑은 고딕" w:hAnsi="Times New Roman"/>
                <w:lang w:val="en-US" w:eastAsia="ko-KR"/>
              </w:rPr>
            </w:pPr>
            <w:r w:rsidRPr="00701D4F">
              <w:rPr>
                <w:rFonts w:ascii="Times New Roman" w:eastAsia="맑은 고딕" w:hAnsi="Times New Roman"/>
                <w:lang w:val="en-US" w:eastAsia="ko-KR"/>
              </w:rPr>
              <w:t>For each transmitter for unicast, the target receiver is randomly selected among the UEs within X meters.</w:t>
            </w:r>
          </w:p>
          <w:p w14:paraId="3BAA1F4A" w14:textId="77777777" w:rsidR="00701D4F" w:rsidRPr="00701D4F" w:rsidRDefault="00701D4F" w:rsidP="00701D4F">
            <w:pPr>
              <w:overflowPunct/>
              <w:autoSpaceDE/>
              <w:autoSpaceDN/>
              <w:adjustRightInd/>
              <w:spacing w:after="180"/>
              <w:ind w:left="568" w:hanging="284"/>
              <w:jc w:val="left"/>
              <w:textAlignment w:val="auto"/>
              <w:rPr>
                <w:rFonts w:ascii="Times New Roman" w:eastAsia="맑은 고딕" w:hAnsi="Times New Roman"/>
                <w:lang w:val="en-US" w:eastAsia="ko-KR"/>
              </w:rPr>
            </w:pPr>
            <w:r w:rsidRPr="00701D4F">
              <w:rPr>
                <w:rFonts w:ascii="Times New Roman" w:eastAsia="맑은 고딕" w:hAnsi="Times New Roman"/>
                <w:lang w:val="en-US" w:eastAsia="ko-KR"/>
              </w:rPr>
              <w:t>-</w:t>
            </w:r>
            <w:r w:rsidRPr="00701D4F">
              <w:rPr>
                <w:rFonts w:ascii="Times New Roman" w:eastAsia="맑은 고딕" w:hAnsi="Times New Roman"/>
                <w:lang w:val="en-US" w:eastAsia="ko-KR"/>
              </w:rPr>
              <w:tab/>
              <w:t>For the clustered vehicle dropping, the target receiver should be in the same cluster as the transmitter.</w:t>
            </w:r>
          </w:p>
          <w:p w14:paraId="087F2437" w14:textId="77777777" w:rsidR="00701D4F" w:rsidRPr="00701D4F" w:rsidRDefault="00701D4F" w:rsidP="00701D4F">
            <w:pPr>
              <w:overflowPunct/>
              <w:autoSpaceDE/>
              <w:autoSpaceDN/>
              <w:adjustRightInd/>
              <w:spacing w:after="180"/>
              <w:ind w:left="568" w:hanging="284"/>
              <w:jc w:val="left"/>
              <w:textAlignment w:val="auto"/>
              <w:rPr>
                <w:rFonts w:ascii="Times New Roman" w:eastAsia="맑은 고딕" w:hAnsi="Times New Roman"/>
                <w:lang w:val="en-US" w:eastAsia="ko-KR"/>
              </w:rPr>
            </w:pPr>
            <w:r w:rsidRPr="00701D4F">
              <w:rPr>
                <w:rFonts w:ascii="Times New Roman" w:eastAsia="맑은 고딕" w:hAnsi="Times New Roman"/>
                <w:lang w:val="en-US" w:eastAsia="ko-KR"/>
              </w:rPr>
              <w:t>-</w:t>
            </w:r>
            <w:r w:rsidRPr="00701D4F">
              <w:rPr>
                <w:rFonts w:ascii="Times New Roman" w:eastAsia="맑은 고딕" w:hAnsi="Times New Roman"/>
                <w:lang w:val="en-US" w:eastAsia="ko-KR"/>
              </w:rPr>
              <w:tab/>
              <w:t>X</w:t>
            </w:r>
            <w:r w:rsidRPr="00701D4F">
              <w:rPr>
                <w:rFonts w:ascii="Times New Roman" w:eastAsia="맑은 고딕" w:hAnsi="Times New Roman" w:hint="eastAsia"/>
                <w:lang w:val="en-US" w:eastAsia="ko-KR"/>
              </w:rPr>
              <w:t xml:space="preserve"> </w:t>
            </w:r>
            <w:r w:rsidRPr="00701D4F">
              <w:rPr>
                <w:rFonts w:ascii="Times New Roman" w:eastAsia="맑은 고딕" w:hAnsi="Times New Roman"/>
                <w:lang w:val="en-US" w:eastAsia="ko-KR"/>
              </w:rPr>
              <w:t>is to be discussed as a part of technical solutions.</w:t>
            </w:r>
          </w:p>
          <w:p w14:paraId="109D0CA7" w14:textId="77777777" w:rsidR="00701D4F" w:rsidRPr="00701D4F" w:rsidRDefault="00701D4F" w:rsidP="00701D4F">
            <w:pPr>
              <w:overflowPunct/>
              <w:autoSpaceDE/>
              <w:autoSpaceDN/>
              <w:adjustRightInd/>
              <w:spacing w:after="180"/>
              <w:ind w:left="568" w:hanging="284"/>
              <w:jc w:val="left"/>
              <w:textAlignment w:val="auto"/>
              <w:rPr>
                <w:rFonts w:ascii="Times New Roman" w:eastAsia="맑은 고딕" w:hAnsi="Times New Roman"/>
                <w:lang w:val="en-US" w:eastAsia="ko-KR"/>
              </w:rPr>
            </w:pPr>
            <w:r w:rsidRPr="00701D4F">
              <w:rPr>
                <w:rFonts w:ascii="Times New Roman" w:eastAsia="맑은 고딕" w:hAnsi="Times New Roman"/>
                <w:lang w:val="en-US" w:eastAsia="ko-KR"/>
              </w:rPr>
              <w:t>-</w:t>
            </w:r>
            <w:r w:rsidRPr="00701D4F">
              <w:rPr>
                <w:rFonts w:ascii="Times New Roman" w:eastAsia="맑은 고딕" w:hAnsi="Times New Roman"/>
                <w:lang w:val="en-US" w:eastAsia="ko-KR"/>
              </w:rPr>
              <w:tab/>
              <w:t>This transmitter-receiver association assumption can be revisited if an issue is identified.</w:t>
            </w:r>
          </w:p>
          <w:p w14:paraId="73FB1EC2" w14:textId="77777777" w:rsidR="00701D4F" w:rsidRPr="00701D4F" w:rsidRDefault="00701D4F" w:rsidP="00701D4F">
            <w:pPr>
              <w:spacing w:after="180"/>
              <w:jc w:val="left"/>
              <w:rPr>
                <w:rFonts w:ascii="Times New Roman" w:eastAsia="맑은 고딕" w:hAnsi="Times New Roman"/>
                <w:lang w:val="en-US" w:eastAsia="ko-KR"/>
              </w:rPr>
            </w:pPr>
            <w:r w:rsidRPr="00701D4F">
              <w:rPr>
                <w:rFonts w:ascii="Times New Roman" w:eastAsia="맑은 고딕" w:hAnsi="Times New Roman"/>
                <w:lang w:val="en-US" w:eastAsia="ko-KR"/>
              </w:rPr>
              <w:t>For each transmitter for multicast, the target receivers are all the UEs within Y meters.</w:t>
            </w:r>
          </w:p>
          <w:p w14:paraId="03D7EC3F" w14:textId="77777777" w:rsidR="00701D4F" w:rsidRPr="00701D4F" w:rsidRDefault="00701D4F" w:rsidP="00701D4F">
            <w:pPr>
              <w:overflowPunct/>
              <w:autoSpaceDE/>
              <w:autoSpaceDN/>
              <w:adjustRightInd/>
              <w:spacing w:after="180"/>
              <w:ind w:left="568" w:hanging="284"/>
              <w:jc w:val="left"/>
              <w:textAlignment w:val="auto"/>
              <w:rPr>
                <w:rFonts w:ascii="Times New Roman" w:eastAsia="맑은 고딕" w:hAnsi="Times New Roman"/>
                <w:lang w:val="en-US" w:eastAsia="ko-KR"/>
              </w:rPr>
            </w:pPr>
            <w:r w:rsidRPr="00701D4F">
              <w:rPr>
                <w:rFonts w:ascii="Times New Roman" w:eastAsia="맑은 고딕" w:hAnsi="Times New Roman"/>
                <w:lang w:val="en-US" w:eastAsia="ko-KR"/>
              </w:rPr>
              <w:t>-</w:t>
            </w:r>
            <w:r w:rsidRPr="00701D4F">
              <w:rPr>
                <w:rFonts w:ascii="Times New Roman" w:eastAsia="맑은 고딕" w:hAnsi="Times New Roman"/>
                <w:lang w:val="en-US" w:eastAsia="ko-KR"/>
              </w:rPr>
              <w:tab/>
              <w:t>For the clustered vehicle dropping, the target receivers should be in the same cluster as the transmitter.</w:t>
            </w:r>
          </w:p>
          <w:p w14:paraId="1412A6E5" w14:textId="4A02708F" w:rsidR="00701D4F" w:rsidRPr="00E85010" w:rsidRDefault="00701D4F" w:rsidP="00E85010">
            <w:pPr>
              <w:overflowPunct/>
              <w:autoSpaceDE/>
              <w:autoSpaceDN/>
              <w:adjustRightInd/>
              <w:spacing w:after="180"/>
              <w:ind w:left="568" w:hanging="284"/>
              <w:jc w:val="left"/>
              <w:textAlignment w:val="auto"/>
              <w:rPr>
                <w:rFonts w:ascii="Times New Roman" w:eastAsia="맑은 고딕" w:hAnsi="Times New Roman"/>
                <w:lang w:val="en-US" w:eastAsia="ko-KR"/>
              </w:rPr>
            </w:pPr>
            <w:r w:rsidRPr="00701D4F">
              <w:rPr>
                <w:rFonts w:ascii="Times New Roman" w:eastAsia="맑은 고딕" w:hAnsi="Times New Roman"/>
                <w:lang w:val="en-US" w:eastAsia="ko-KR"/>
              </w:rPr>
              <w:t>-</w:t>
            </w:r>
            <w:r w:rsidRPr="00701D4F">
              <w:rPr>
                <w:rFonts w:ascii="Times New Roman" w:eastAsia="맑은 고딕" w:hAnsi="Times New Roman"/>
                <w:lang w:val="en-US" w:eastAsia="ko-KR"/>
              </w:rPr>
              <w:tab/>
              <w:t>Y is to be discussed as a part of technical solutions.</w:t>
            </w:r>
          </w:p>
        </w:tc>
      </w:tr>
    </w:tbl>
    <w:p w14:paraId="6F2ED03B" w14:textId="7F28A876" w:rsidR="0065253E" w:rsidRPr="0065253E" w:rsidRDefault="0065253E" w:rsidP="0061496C">
      <w:pPr>
        <w:pStyle w:val="LGTdoc"/>
        <w:spacing w:before="100" w:beforeAutospacing="1" w:afterLines="0" w:after="100" w:afterAutospacing="1" w:line="240" w:lineRule="auto"/>
        <w:ind w:firstLine="432"/>
        <w:rPr>
          <w:rFonts w:eastAsia="맑은 고딕"/>
          <w:iCs/>
          <w:kern w:val="0"/>
          <w:szCs w:val="22"/>
          <w:lang w:val="en-US"/>
        </w:rPr>
      </w:pPr>
      <w:r w:rsidRPr="0065253E">
        <w:rPr>
          <w:rFonts w:eastAsia="맑은 고딕"/>
          <w:iCs/>
          <w:kern w:val="0"/>
          <w:szCs w:val="22"/>
          <w:lang w:val="en-US"/>
        </w:rPr>
        <w:t>We think that it is necessary to discuss how to define the target receiver(s) when evaluating the unicast/multicast applications. For the multicast application, it needs to discuss whether to assume that the multicast operation occurs only within the platoon. If so, the UEs belonging to the same platoon as the TX UE can be defined as the target receivers. It is assumed that there is no problem with the link quality since the UEs in the same platoon are close together. For the unicast application, we think considering the link quality, the target receiver can be randomly selected as one of the UEs which have the coupling loss less than the predefined threshold. For example, considering the receiver sensitivity of -90.4 dBm (for 10 MHz channel bandwidth for Rel-14 V2X in TS 36.101) and the transmission power of 23dBm, the threshold of coupling loss can be set to 113.4 dB. The reason for using Rel-14 receiver sensitivity is that it is impractical to perform the unicast operation with a UE out</w:t>
      </w:r>
      <w:r w:rsidR="006D73D6">
        <w:rPr>
          <w:rFonts w:eastAsia="맑은 고딕"/>
          <w:iCs/>
          <w:kern w:val="0"/>
          <w:szCs w:val="22"/>
          <w:lang w:val="en-US"/>
        </w:rPr>
        <w:t>side of basic safety coverage.</w:t>
      </w:r>
    </w:p>
    <w:p w14:paraId="3997DDD3" w14:textId="31C67CA0" w:rsidR="0065253E" w:rsidRDefault="0065253E" w:rsidP="00AD5F97">
      <w:pPr>
        <w:pStyle w:val="LGTdoc"/>
        <w:spacing w:before="100" w:beforeAutospacing="1" w:afterLines="0" w:after="0" w:line="240" w:lineRule="auto"/>
        <w:rPr>
          <w:rFonts w:ascii="Calibri" w:hAnsi="Calibri"/>
          <w:szCs w:val="22"/>
          <w:lang w:val="en-US"/>
        </w:rPr>
      </w:pPr>
      <w:r w:rsidRPr="0065253E">
        <w:rPr>
          <w:b/>
          <w:i/>
          <w:szCs w:val="22"/>
          <w:lang w:val="en-US"/>
        </w:rPr>
        <w:t xml:space="preserve">Proposal </w:t>
      </w:r>
      <w:r w:rsidR="00AD5F97">
        <w:rPr>
          <w:rFonts w:hint="eastAsia"/>
          <w:b/>
          <w:i/>
          <w:szCs w:val="22"/>
          <w:lang w:val="en-US"/>
        </w:rPr>
        <w:t>1</w:t>
      </w:r>
      <w:r w:rsidRPr="0065253E">
        <w:rPr>
          <w:b/>
          <w:i/>
          <w:szCs w:val="22"/>
          <w:lang w:val="en-US"/>
        </w:rPr>
        <w:t xml:space="preserve">: For </w:t>
      </w:r>
      <w:r w:rsidR="007E2848">
        <w:rPr>
          <w:b/>
          <w:i/>
          <w:szCs w:val="22"/>
          <w:lang w:val="en-US"/>
        </w:rPr>
        <w:t xml:space="preserve">each transmitter for </w:t>
      </w:r>
      <w:r w:rsidRPr="0065253E">
        <w:rPr>
          <w:b/>
          <w:i/>
          <w:szCs w:val="22"/>
          <w:lang w:val="en-US"/>
        </w:rPr>
        <w:t>unicast,</w:t>
      </w:r>
      <w:r w:rsidR="009121B8">
        <w:rPr>
          <w:rFonts w:hint="eastAsia"/>
          <w:b/>
          <w:i/>
          <w:szCs w:val="22"/>
          <w:lang w:val="en-US"/>
        </w:rPr>
        <w:t xml:space="preserve"> </w:t>
      </w:r>
      <w:r w:rsidR="007E2848">
        <w:rPr>
          <w:b/>
          <w:i/>
          <w:szCs w:val="22"/>
          <w:lang w:val="en-US"/>
        </w:rPr>
        <w:t xml:space="preserve">the target receiver is randomly selected among the UEs </w:t>
      </w:r>
      <w:r w:rsidR="007E2848" w:rsidRPr="007E2848">
        <w:rPr>
          <w:b/>
          <w:i/>
          <w:szCs w:val="22"/>
          <w:lang w:val="en-US"/>
        </w:rPr>
        <w:t>which have the coupling loss less than the predefined threshold</w:t>
      </w:r>
      <w:r w:rsidR="007E2848">
        <w:rPr>
          <w:b/>
          <w:i/>
          <w:szCs w:val="22"/>
          <w:lang w:val="en-US"/>
        </w:rPr>
        <w:t>.</w:t>
      </w:r>
      <w:r w:rsidR="007E2848" w:rsidRPr="007E2848">
        <w:rPr>
          <w:rFonts w:hint="eastAsia"/>
          <w:b/>
          <w:i/>
          <w:szCs w:val="22"/>
          <w:lang w:val="en-US"/>
        </w:rPr>
        <w:t xml:space="preserve"> </w:t>
      </w:r>
    </w:p>
    <w:p w14:paraId="3725B3A6" w14:textId="5B61A547" w:rsidR="009121B8" w:rsidRDefault="009121B8" w:rsidP="009121B8">
      <w:pPr>
        <w:pStyle w:val="LGTdoc"/>
        <w:spacing w:before="100" w:beforeAutospacing="1" w:afterLines="0" w:after="0" w:line="240" w:lineRule="auto"/>
        <w:rPr>
          <w:rFonts w:ascii="Calibri" w:hAnsi="Calibri"/>
          <w:szCs w:val="22"/>
          <w:lang w:val="en-US"/>
        </w:rPr>
      </w:pPr>
      <w:r w:rsidRPr="0065253E">
        <w:rPr>
          <w:b/>
          <w:i/>
          <w:szCs w:val="22"/>
          <w:lang w:val="en-US"/>
        </w:rPr>
        <w:lastRenderedPageBreak/>
        <w:t xml:space="preserve">Proposal </w:t>
      </w:r>
      <w:r>
        <w:rPr>
          <w:rFonts w:hint="eastAsia"/>
          <w:b/>
          <w:i/>
          <w:szCs w:val="22"/>
          <w:lang w:val="en-US"/>
        </w:rPr>
        <w:t>2</w:t>
      </w:r>
      <w:r w:rsidRPr="0065253E">
        <w:rPr>
          <w:b/>
          <w:i/>
          <w:szCs w:val="22"/>
          <w:lang w:val="en-US"/>
        </w:rPr>
        <w:t xml:space="preserve">: For </w:t>
      </w:r>
      <w:r w:rsidR="007E2848">
        <w:rPr>
          <w:b/>
          <w:i/>
          <w:szCs w:val="22"/>
          <w:lang w:val="en-US"/>
        </w:rPr>
        <w:t>each transmitter for platooning</w:t>
      </w:r>
      <w:r w:rsidRPr="0065253E">
        <w:rPr>
          <w:b/>
          <w:i/>
          <w:szCs w:val="22"/>
          <w:lang w:val="en-US"/>
        </w:rPr>
        <w:t xml:space="preserve">, </w:t>
      </w:r>
      <w:r w:rsidR="007E2848">
        <w:rPr>
          <w:b/>
          <w:i/>
          <w:szCs w:val="22"/>
          <w:lang w:val="en-US"/>
        </w:rPr>
        <w:t xml:space="preserve">the target receivers are the all UEs belonging to the same platoon. </w:t>
      </w:r>
    </w:p>
    <w:p w14:paraId="22137DC0" w14:textId="77777777" w:rsidR="00AD5F97" w:rsidRPr="009121B8" w:rsidRDefault="00AD5F97" w:rsidP="00AD5F97">
      <w:pPr>
        <w:pStyle w:val="LGTdoc"/>
        <w:spacing w:afterLines="0" w:after="0" w:line="240" w:lineRule="auto"/>
        <w:ind w:firstLine="425"/>
        <w:rPr>
          <w:rFonts w:eastAsia="맑은 고딕"/>
          <w:iCs/>
          <w:kern w:val="0"/>
          <w:szCs w:val="22"/>
          <w:lang w:val="en-US"/>
        </w:rPr>
      </w:pPr>
    </w:p>
    <w:p w14:paraId="1225B967" w14:textId="7126043D" w:rsidR="0065253E" w:rsidRPr="0065253E" w:rsidRDefault="0065253E" w:rsidP="00AD5F97">
      <w:pPr>
        <w:pStyle w:val="LGTdoc"/>
        <w:spacing w:afterLines="0" w:after="100" w:afterAutospacing="1" w:line="240" w:lineRule="auto"/>
        <w:ind w:firstLine="425"/>
        <w:rPr>
          <w:rFonts w:eastAsia="맑은 고딕"/>
          <w:iCs/>
          <w:kern w:val="0"/>
          <w:szCs w:val="22"/>
          <w:lang w:val="en-US"/>
        </w:rPr>
      </w:pPr>
      <w:r w:rsidRPr="0065253E">
        <w:rPr>
          <w:rFonts w:eastAsia="맑은 고딕"/>
          <w:iCs/>
          <w:kern w:val="0"/>
          <w:szCs w:val="22"/>
          <w:lang w:val="en-US"/>
        </w:rPr>
        <w:t>Another topic needed to be discussed is whether all the dropped UEs (in the simulation) will transmit the message when evaluating the unicast/multicast applications. Considering that only some UEs participate in the unicast/multicast operations in reality and it is also meaningful to check the performance change with various offered load, we think that it needs to allow that only a certain percentage of dropped UEs perform the message transmission</w:t>
      </w:r>
      <w:r w:rsidR="007E2848">
        <w:rPr>
          <w:rFonts w:eastAsia="맑은 고딕"/>
          <w:iCs/>
          <w:kern w:val="0"/>
          <w:szCs w:val="22"/>
          <w:lang w:val="en-US"/>
        </w:rPr>
        <w:t xml:space="preserve"> for unicast/multicast applications</w:t>
      </w:r>
      <w:r w:rsidRPr="0065253E">
        <w:rPr>
          <w:rFonts w:eastAsia="맑은 고딕"/>
          <w:iCs/>
          <w:kern w:val="0"/>
          <w:szCs w:val="22"/>
          <w:lang w:val="en-US"/>
        </w:rPr>
        <w:t>. For example, based on the probability parameter, it can be determined whether or not a UE performs the message transmission. For the simulation simplicity, it can be defined that once whether or not a UE transmits the message is determined based on the probability, then it remains unchanged during the runtime.</w:t>
      </w:r>
    </w:p>
    <w:p w14:paraId="4C465E69" w14:textId="1349D975" w:rsidR="0065253E" w:rsidRDefault="0065253E" w:rsidP="00E85010">
      <w:pPr>
        <w:pStyle w:val="LGTdoc"/>
        <w:spacing w:before="100" w:beforeAutospacing="1" w:afterLines="0" w:after="0" w:line="240" w:lineRule="auto"/>
        <w:rPr>
          <w:b/>
          <w:i/>
          <w:szCs w:val="22"/>
          <w:lang w:val="en-US"/>
        </w:rPr>
      </w:pPr>
      <w:r w:rsidRPr="0065253E">
        <w:rPr>
          <w:b/>
          <w:i/>
          <w:szCs w:val="22"/>
          <w:lang w:val="en-US"/>
        </w:rPr>
        <w:t xml:space="preserve">Proposal </w:t>
      </w:r>
      <w:r w:rsidR="009121B8">
        <w:rPr>
          <w:rFonts w:hint="eastAsia"/>
          <w:b/>
          <w:i/>
          <w:szCs w:val="22"/>
          <w:lang w:val="en-US"/>
        </w:rPr>
        <w:t>3</w:t>
      </w:r>
      <w:r w:rsidRPr="0065253E">
        <w:rPr>
          <w:b/>
          <w:i/>
          <w:szCs w:val="22"/>
          <w:lang w:val="en-US"/>
        </w:rPr>
        <w:t>: When evaluating the unicast/multicast applications, it needs to allow that only a certain percentage of dropped UEs perform the message transmission</w:t>
      </w:r>
      <w:r w:rsidR="00F620F2">
        <w:rPr>
          <w:b/>
          <w:i/>
          <w:szCs w:val="22"/>
          <w:lang w:val="en-US"/>
        </w:rPr>
        <w:t>.</w:t>
      </w:r>
    </w:p>
    <w:p w14:paraId="5504F54C" w14:textId="1C74FFB4" w:rsidR="00F620F2" w:rsidRDefault="00F620F2" w:rsidP="000D64B5">
      <w:pPr>
        <w:pStyle w:val="LGTdoc"/>
        <w:spacing w:afterLines="0" w:after="0" w:line="240" w:lineRule="auto"/>
        <w:ind w:firstLine="425"/>
        <w:rPr>
          <w:rFonts w:eastAsia="맑은 고딕" w:cs="Arial"/>
          <w:sz w:val="32"/>
          <w:szCs w:val="32"/>
        </w:rPr>
      </w:pPr>
    </w:p>
    <w:p w14:paraId="597906D6" w14:textId="7067B12D" w:rsidR="00B63FB6" w:rsidRDefault="00B63FB6" w:rsidP="00B63FB6">
      <w:pPr>
        <w:pStyle w:val="2"/>
        <w:rPr>
          <w:rFonts w:eastAsia="맑은 고딕"/>
          <w:lang w:eastAsia="ko-KR"/>
        </w:rPr>
      </w:pPr>
      <w:r>
        <w:rPr>
          <w:rFonts w:eastAsia="맑은 고딕" w:hint="eastAsia"/>
          <w:lang w:eastAsia="ko-KR"/>
        </w:rPr>
        <w:t>Simulation parameters</w:t>
      </w:r>
    </w:p>
    <w:p w14:paraId="73F3D7A8" w14:textId="34717CDC" w:rsidR="00B63FB6" w:rsidRPr="0079588E" w:rsidRDefault="00B63FB6" w:rsidP="00B63FB6">
      <w:pPr>
        <w:rPr>
          <w:rFonts w:ascii="Times New Roman" w:hAnsi="Times New Roman"/>
          <w:b/>
          <w:u w:val="single"/>
        </w:rPr>
      </w:pPr>
      <w:r>
        <w:rPr>
          <w:rFonts w:ascii="Times New Roman" w:eastAsia="맑은 고딕" w:hAnsi="Times New Roman" w:hint="eastAsia"/>
          <w:b/>
          <w:u w:val="single"/>
          <w:lang w:eastAsia="ko-KR"/>
        </w:rPr>
        <w:t>Automatic gain control (AGC) sett</w:t>
      </w:r>
      <w:r w:rsidR="001819BC">
        <w:rPr>
          <w:rFonts w:ascii="Times New Roman" w:eastAsia="맑은 고딕" w:hAnsi="Times New Roman" w:hint="eastAsia"/>
          <w:b/>
          <w:u w:val="single"/>
          <w:lang w:eastAsia="ko-KR"/>
        </w:rPr>
        <w:t>l</w:t>
      </w:r>
      <w:r>
        <w:rPr>
          <w:rFonts w:ascii="Times New Roman" w:eastAsia="맑은 고딕" w:hAnsi="Times New Roman" w:hint="eastAsia"/>
          <w:b/>
          <w:u w:val="single"/>
          <w:lang w:eastAsia="ko-KR"/>
        </w:rPr>
        <w:t>ing time</w:t>
      </w:r>
    </w:p>
    <w:p w14:paraId="43001762" w14:textId="0B907A61" w:rsidR="00B63FB6" w:rsidRDefault="00907C82" w:rsidP="00B63FB6">
      <w:pPr>
        <w:pStyle w:val="LGTdoc"/>
        <w:spacing w:afterLines="0" w:after="0" w:line="240" w:lineRule="auto"/>
        <w:ind w:firstLine="425"/>
        <w:rPr>
          <w:rFonts w:eastAsia="맑은 고딕"/>
          <w:lang w:val="en-US"/>
        </w:rPr>
      </w:pPr>
      <w:r>
        <w:rPr>
          <w:rFonts w:eastAsia="맑은 고딕" w:hint="eastAsia"/>
          <w:lang w:val="en-US"/>
        </w:rPr>
        <w:t xml:space="preserve">In </w:t>
      </w:r>
      <w:r w:rsidR="006F05AE">
        <w:rPr>
          <w:rFonts w:eastAsia="맑은 고딕" w:hint="eastAsia"/>
          <w:lang w:val="en-US"/>
        </w:rPr>
        <w:t>LTE</w:t>
      </w:r>
      <w:r>
        <w:rPr>
          <w:rFonts w:eastAsia="맑은 고딕" w:hint="eastAsia"/>
          <w:lang w:val="en-US"/>
        </w:rPr>
        <w:t xml:space="preserve">, </w:t>
      </w:r>
      <w:r w:rsidR="001819BC">
        <w:rPr>
          <w:rFonts w:eastAsia="맑은 고딕" w:hint="eastAsia"/>
          <w:lang w:val="en-US"/>
        </w:rPr>
        <w:t xml:space="preserve">it is assumed that </w:t>
      </w:r>
      <w:r>
        <w:rPr>
          <w:rFonts w:eastAsia="맑은 고딕" w:hint="eastAsia"/>
          <w:lang w:val="en-US"/>
        </w:rPr>
        <w:t>the AGC sett</w:t>
      </w:r>
      <w:r w:rsidR="001819BC">
        <w:rPr>
          <w:rFonts w:eastAsia="맑은 고딕" w:hint="eastAsia"/>
          <w:lang w:val="en-US"/>
        </w:rPr>
        <w:t>l</w:t>
      </w:r>
      <w:r>
        <w:rPr>
          <w:rFonts w:eastAsia="맑은 고딕" w:hint="eastAsia"/>
          <w:lang w:val="en-US"/>
        </w:rPr>
        <w:t xml:space="preserve">ing time </w:t>
      </w:r>
      <w:r w:rsidR="001819BC">
        <w:rPr>
          <w:rFonts w:eastAsia="맑은 고딕" w:hint="eastAsia"/>
          <w:lang w:val="en-US"/>
        </w:rPr>
        <w:t xml:space="preserve">is </w:t>
      </w:r>
      <w:r w:rsidR="00F620F2">
        <w:rPr>
          <w:rFonts w:eastAsia="맑은 고딕" w:hint="eastAsia"/>
          <w:lang w:val="en-US"/>
        </w:rPr>
        <w:t>up to 70</w:t>
      </w:r>
      <w:r w:rsidR="00DC3CCE">
        <w:rPr>
          <w:rFonts w:eastAsia="맑은 고딕" w:hint="eastAsia"/>
          <w:lang w:val="en-US"/>
        </w:rPr>
        <w:t xml:space="preserve"> </w:t>
      </w:r>
      <w:r w:rsidR="00F620F2">
        <w:rPr>
          <w:rFonts w:eastAsia="맑은 고딕" w:hint="eastAsia"/>
          <w:lang w:val="en-US"/>
        </w:rPr>
        <w:t xml:space="preserve">us </w:t>
      </w:r>
      <w:r w:rsidR="001819BC">
        <w:rPr>
          <w:rFonts w:eastAsia="맑은 고딕" w:hint="eastAsia"/>
          <w:lang w:val="en-US"/>
        </w:rPr>
        <w:t>[</w:t>
      </w:r>
      <w:r w:rsidR="00D1409E">
        <w:rPr>
          <w:rFonts w:eastAsia="맑은 고딕" w:hint="eastAsia"/>
          <w:lang w:val="en-US"/>
        </w:rPr>
        <w:t>2</w:t>
      </w:r>
      <w:r w:rsidR="001819BC">
        <w:rPr>
          <w:rFonts w:eastAsia="맑은 고딕" w:hint="eastAsia"/>
          <w:lang w:val="en-US"/>
        </w:rPr>
        <w:t>]</w:t>
      </w:r>
      <w:r w:rsidR="00DC3CCE">
        <w:rPr>
          <w:rFonts w:eastAsia="맑은 고딕" w:hint="eastAsia"/>
          <w:lang w:val="en-US"/>
        </w:rPr>
        <w:t xml:space="preserve">, thus the one OFDM symbol is </w:t>
      </w:r>
      <w:r w:rsidR="007E2848">
        <w:rPr>
          <w:rFonts w:eastAsia="맑은 고딕"/>
          <w:lang w:val="en-US"/>
        </w:rPr>
        <w:t>assumed</w:t>
      </w:r>
      <w:r w:rsidR="007E2848">
        <w:rPr>
          <w:rFonts w:eastAsia="맑은 고딕" w:hint="eastAsia"/>
          <w:lang w:val="en-US"/>
        </w:rPr>
        <w:t xml:space="preserve"> </w:t>
      </w:r>
      <w:r w:rsidR="007E2848">
        <w:rPr>
          <w:rFonts w:eastAsia="맑은 고딕"/>
          <w:lang w:val="en-US"/>
        </w:rPr>
        <w:t>for</w:t>
      </w:r>
      <w:r w:rsidR="007E2848">
        <w:rPr>
          <w:rFonts w:eastAsia="맑은 고딕" w:hint="eastAsia"/>
          <w:lang w:val="en-US"/>
        </w:rPr>
        <w:t xml:space="preserve"> </w:t>
      </w:r>
      <w:r w:rsidR="00DC3CCE">
        <w:rPr>
          <w:rFonts w:eastAsia="맑은 고딕" w:hint="eastAsia"/>
          <w:lang w:val="en-US"/>
        </w:rPr>
        <w:t>AGC operation</w:t>
      </w:r>
      <w:r w:rsidR="007E2848">
        <w:rPr>
          <w:rFonts w:eastAsia="맑은 고딕"/>
          <w:lang w:val="en-US"/>
        </w:rPr>
        <w:t xml:space="preserve"> in LTE V2X</w:t>
      </w:r>
      <w:r w:rsidR="00DC3CCE">
        <w:rPr>
          <w:rFonts w:eastAsia="맑은 고딕" w:hint="eastAsia"/>
          <w:lang w:val="en-US"/>
        </w:rPr>
        <w:t xml:space="preserve">. </w:t>
      </w:r>
      <w:r w:rsidR="00FF304A">
        <w:rPr>
          <w:rFonts w:eastAsia="맑은 고딕" w:hint="eastAsia"/>
          <w:lang w:val="en-US"/>
        </w:rPr>
        <w:t xml:space="preserve">In NR V2X sidelink, </w:t>
      </w:r>
      <w:r w:rsidR="008A6630">
        <w:rPr>
          <w:rFonts w:eastAsia="맑은 고딕"/>
          <w:lang w:val="en-US"/>
        </w:rPr>
        <w:t>70us</w:t>
      </w:r>
      <w:r w:rsidR="00DC3CCE">
        <w:rPr>
          <w:rFonts w:eastAsia="맑은 고딕" w:hint="eastAsia"/>
          <w:lang w:val="en-US"/>
        </w:rPr>
        <w:t xml:space="preserve"> </w:t>
      </w:r>
      <w:r w:rsidR="008A6630">
        <w:rPr>
          <w:rFonts w:eastAsia="맑은 고딕"/>
          <w:lang w:val="en-US"/>
        </w:rPr>
        <w:t>can be assumed for AGC</w:t>
      </w:r>
      <w:r w:rsidR="00EF667A">
        <w:rPr>
          <w:rFonts w:eastAsia="맑은 고딕"/>
          <w:lang w:val="en-US"/>
        </w:rPr>
        <w:t xml:space="preserve"> </w:t>
      </w:r>
      <w:r w:rsidR="00DC3CCE">
        <w:rPr>
          <w:rFonts w:eastAsia="맑은 고딕" w:hint="eastAsia"/>
          <w:lang w:val="en-US"/>
        </w:rPr>
        <w:t>at least</w:t>
      </w:r>
      <w:r w:rsidR="00DC3CCE">
        <w:rPr>
          <w:rFonts w:eastAsia="맑은 고딕"/>
          <w:lang w:val="en-US"/>
        </w:rPr>
        <w:t xml:space="preserve"> </w:t>
      </w:r>
      <w:r w:rsidR="00DC3CCE">
        <w:rPr>
          <w:rFonts w:eastAsia="맑은 고딕" w:hint="eastAsia"/>
          <w:lang w:val="en-US"/>
        </w:rPr>
        <w:t xml:space="preserve">for FR1. However, this value </w:t>
      </w:r>
      <w:r w:rsidR="00DC3CCE">
        <w:rPr>
          <w:szCs w:val="22"/>
        </w:rPr>
        <w:t xml:space="preserve">makes high overhead </w:t>
      </w:r>
      <w:r w:rsidR="00DC3CCE">
        <w:rPr>
          <w:rFonts w:eastAsia="맑은 고딕" w:hint="eastAsia"/>
          <w:lang w:val="en-US"/>
        </w:rPr>
        <w:t>for FR2. Thus</w:t>
      </w:r>
      <w:r w:rsidR="00D15575">
        <w:rPr>
          <w:rFonts w:eastAsia="맑은 고딕" w:hint="eastAsia"/>
          <w:lang w:val="en-US"/>
        </w:rPr>
        <w:t>,</w:t>
      </w:r>
      <w:r w:rsidR="00DC3CCE">
        <w:rPr>
          <w:rFonts w:eastAsia="맑은 고딕" w:hint="eastAsia"/>
          <w:lang w:val="en-US"/>
        </w:rPr>
        <w:t xml:space="preserve"> the AGC settling time </w:t>
      </w:r>
      <w:r w:rsidR="00D15575">
        <w:rPr>
          <w:rFonts w:eastAsia="맑은 고딕" w:hint="eastAsia"/>
          <w:lang w:val="en-US"/>
        </w:rPr>
        <w:t xml:space="preserve">of FR2 </w:t>
      </w:r>
      <w:r w:rsidR="008A6630">
        <w:rPr>
          <w:rFonts w:eastAsia="맑은 고딕"/>
          <w:lang w:val="en-US"/>
        </w:rPr>
        <w:t>needs further study</w:t>
      </w:r>
      <w:r w:rsidR="00D15575">
        <w:rPr>
          <w:rFonts w:eastAsia="맑은 고딕" w:hint="eastAsia"/>
          <w:lang w:val="en-US"/>
        </w:rPr>
        <w:t>.</w:t>
      </w:r>
    </w:p>
    <w:p w14:paraId="49047F19" w14:textId="77777777" w:rsidR="00B63FB6" w:rsidRPr="006F05AE" w:rsidRDefault="00B63FB6" w:rsidP="00B63FB6">
      <w:pPr>
        <w:pStyle w:val="LGTdoc"/>
        <w:spacing w:afterLines="0" w:after="0" w:line="240" w:lineRule="auto"/>
        <w:ind w:firstLine="425"/>
        <w:rPr>
          <w:rFonts w:eastAsia="맑은 고딕"/>
          <w:lang w:val="en-US"/>
        </w:rPr>
      </w:pPr>
    </w:p>
    <w:p w14:paraId="343B011C" w14:textId="40B38BDE" w:rsidR="00907C82" w:rsidRPr="0079588E" w:rsidRDefault="00907C82" w:rsidP="00907C82">
      <w:pPr>
        <w:rPr>
          <w:rFonts w:ascii="Times New Roman" w:hAnsi="Times New Roman"/>
          <w:b/>
          <w:u w:val="single"/>
        </w:rPr>
      </w:pPr>
      <w:r>
        <w:rPr>
          <w:rFonts w:ascii="Times New Roman" w:eastAsia="맑은 고딕" w:hAnsi="Times New Roman" w:hint="eastAsia"/>
          <w:b/>
          <w:u w:val="single"/>
          <w:lang w:eastAsia="ko-KR"/>
        </w:rPr>
        <w:t>Tx/Rx switching</w:t>
      </w:r>
      <w:r w:rsidR="008A6630">
        <w:rPr>
          <w:rFonts w:ascii="Times New Roman" w:eastAsia="맑은 고딕" w:hAnsi="Times New Roman"/>
          <w:b/>
          <w:u w:val="single"/>
          <w:lang w:eastAsia="ko-KR"/>
        </w:rPr>
        <w:t xml:space="preserve"> period</w:t>
      </w:r>
    </w:p>
    <w:p w14:paraId="30645EFB" w14:textId="4836D132" w:rsidR="00907C82" w:rsidRPr="00907C82" w:rsidRDefault="006F05AE" w:rsidP="00B63FB6">
      <w:pPr>
        <w:pStyle w:val="LGTdoc"/>
        <w:spacing w:afterLines="0" w:after="0" w:line="240" w:lineRule="auto"/>
        <w:ind w:firstLine="425"/>
        <w:rPr>
          <w:rFonts w:eastAsia="맑은 고딕"/>
        </w:rPr>
      </w:pPr>
      <w:r>
        <w:rPr>
          <w:szCs w:val="22"/>
        </w:rPr>
        <w:t xml:space="preserve">In LTE, </w:t>
      </w:r>
      <w:r w:rsidR="008A6630">
        <w:rPr>
          <w:szCs w:val="22"/>
        </w:rPr>
        <w:t>the length of Tx/Rx switching</w:t>
      </w:r>
      <w:r>
        <w:rPr>
          <w:rFonts w:hint="eastAsia"/>
          <w:szCs w:val="22"/>
        </w:rPr>
        <w:t xml:space="preserve"> period </w:t>
      </w:r>
      <w:r>
        <w:rPr>
          <w:szCs w:val="22"/>
        </w:rPr>
        <w:t>is 20 us</w:t>
      </w:r>
      <w:r>
        <w:rPr>
          <w:rFonts w:hint="eastAsia"/>
          <w:szCs w:val="22"/>
        </w:rPr>
        <w:t xml:space="preserve"> [</w:t>
      </w:r>
      <w:r w:rsidR="00D1409E">
        <w:rPr>
          <w:rFonts w:hint="eastAsia"/>
          <w:szCs w:val="22"/>
        </w:rPr>
        <w:t>3</w:t>
      </w:r>
      <w:r>
        <w:rPr>
          <w:rFonts w:hint="eastAsia"/>
          <w:szCs w:val="22"/>
        </w:rPr>
        <w:t>]</w:t>
      </w:r>
      <w:r>
        <w:rPr>
          <w:szCs w:val="22"/>
        </w:rPr>
        <w:t xml:space="preserve">. In NR structure, </w:t>
      </w:r>
      <w:r w:rsidR="008A6630">
        <w:rPr>
          <w:szCs w:val="22"/>
        </w:rPr>
        <w:t>the length of Tx/Rx switching period</w:t>
      </w:r>
      <w:r>
        <w:rPr>
          <w:szCs w:val="22"/>
        </w:rPr>
        <w:t xml:space="preserve"> is </w:t>
      </w:r>
      <w:r w:rsidR="008A6630">
        <w:rPr>
          <w:szCs w:val="22"/>
        </w:rPr>
        <w:t xml:space="preserve">reduced </w:t>
      </w:r>
      <w:r>
        <w:rPr>
          <w:szCs w:val="22"/>
        </w:rPr>
        <w:t>to 10 us in FR1</w:t>
      </w:r>
      <w:r>
        <w:rPr>
          <w:rFonts w:hint="eastAsia"/>
          <w:szCs w:val="22"/>
        </w:rPr>
        <w:t xml:space="preserve"> [</w:t>
      </w:r>
      <w:r w:rsidR="00D1409E">
        <w:rPr>
          <w:rFonts w:hint="eastAsia"/>
          <w:szCs w:val="22"/>
        </w:rPr>
        <w:t>4</w:t>
      </w:r>
      <w:r>
        <w:rPr>
          <w:rFonts w:hint="eastAsia"/>
          <w:szCs w:val="22"/>
        </w:rPr>
        <w:t>]</w:t>
      </w:r>
      <w:r>
        <w:rPr>
          <w:szCs w:val="22"/>
        </w:rPr>
        <w:t xml:space="preserve">, and 5 </w:t>
      </w:r>
      <w:r w:rsidRPr="00121015">
        <w:rPr>
          <w:szCs w:val="22"/>
        </w:rPr>
        <w:t>us in FR2</w:t>
      </w:r>
      <w:r>
        <w:rPr>
          <w:rFonts w:hint="eastAsia"/>
          <w:szCs w:val="22"/>
        </w:rPr>
        <w:t xml:space="preserve"> [</w:t>
      </w:r>
      <w:r w:rsidR="00D1409E">
        <w:rPr>
          <w:rFonts w:hint="eastAsia"/>
          <w:szCs w:val="22"/>
        </w:rPr>
        <w:t>5</w:t>
      </w:r>
      <w:r>
        <w:rPr>
          <w:rFonts w:hint="eastAsia"/>
          <w:szCs w:val="22"/>
        </w:rPr>
        <w:t>]</w:t>
      </w:r>
      <w:r w:rsidRPr="00121015">
        <w:rPr>
          <w:szCs w:val="22"/>
        </w:rPr>
        <w:t>.</w:t>
      </w:r>
      <w:r>
        <w:rPr>
          <w:rFonts w:hint="eastAsia"/>
          <w:szCs w:val="22"/>
        </w:rPr>
        <w:t xml:space="preserve"> This value can be used</w:t>
      </w:r>
      <w:r w:rsidR="008A6630">
        <w:rPr>
          <w:szCs w:val="22"/>
        </w:rPr>
        <w:t xml:space="preserve"> for Tx/Rx switching period</w:t>
      </w:r>
      <w:r>
        <w:rPr>
          <w:rFonts w:hint="eastAsia"/>
          <w:szCs w:val="22"/>
        </w:rPr>
        <w:t xml:space="preserve"> in NR V2X sidelink.</w:t>
      </w:r>
    </w:p>
    <w:p w14:paraId="159C9CE0" w14:textId="77777777" w:rsidR="00907C82" w:rsidRDefault="00907C82" w:rsidP="00B63FB6">
      <w:pPr>
        <w:pStyle w:val="LGTdoc"/>
        <w:spacing w:afterLines="0" w:after="0" w:line="240" w:lineRule="auto"/>
        <w:ind w:firstLine="425"/>
        <w:rPr>
          <w:rFonts w:eastAsia="맑은 고딕"/>
          <w:lang w:val="en-US"/>
        </w:rPr>
      </w:pPr>
    </w:p>
    <w:p w14:paraId="57004E1E" w14:textId="1D0D4360" w:rsidR="00B63FB6" w:rsidRPr="0079588E" w:rsidRDefault="00B63FB6" w:rsidP="00B63FB6">
      <w:pPr>
        <w:rPr>
          <w:rFonts w:ascii="Times New Roman" w:hAnsi="Times New Roman"/>
          <w:b/>
          <w:u w:val="single"/>
        </w:rPr>
      </w:pPr>
      <w:r>
        <w:rPr>
          <w:rFonts w:ascii="Times New Roman" w:eastAsia="맑은 고딕" w:hAnsi="Times New Roman" w:hint="eastAsia"/>
          <w:b/>
          <w:u w:val="single"/>
          <w:lang w:eastAsia="ko-KR"/>
        </w:rPr>
        <w:t>In-band emissions (IBE) model</w:t>
      </w:r>
    </w:p>
    <w:p w14:paraId="4C8CAD3C" w14:textId="08B739BB" w:rsidR="00B63FB6" w:rsidRDefault="00C56E44" w:rsidP="000D64B5">
      <w:pPr>
        <w:pStyle w:val="LGTdoc"/>
        <w:ind w:firstLine="425"/>
        <w:rPr>
          <w:rFonts w:eastAsia="맑은 고딕"/>
        </w:rPr>
      </w:pPr>
      <w:r>
        <w:rPr>
          <w:rFonts w:eastAsia="맑은 고딕" w:hint="eastAsia"/>
        </w:rPr>
        <w:t>In LTE, the IBE</w:t>
      </w:r>
      <w:r w:rsidR="008A6630">
        <w:rPr>
          <w:rFonts w:eastAsia="맑은 고딕"/>
        </w:rPr>
        <w:t xml:space="preserve"> requirement</w:t>
      </w:r>
      <w:r>
        <w:rPr>
          <w:rFonts w:eastAsia="맑은 고딕" w:hint="eastAsia"/>
        </w:rPr>
        <w:t xml:space="preserve"> is specified in [</w:t>
      </w:r>
      <w:r w:rsidR="00D1409E">
        <w:rPr>
          <w:rFonts w:eastAsia="맑은 고딕" w:hint="eastAsia"/>
        </w:rPr>
        <w:t>3</w:t>
      </w:r>
      <w:r>
        <w:rPr>
          <w:rFonts w:eastAsia="맑은 고딕" w:hint="eastAsia"/>
        </w:rPr>
        <w:t>]</w:t>
      </w:r>
      <w:r w:rsidR="00FF304A">
        <w:rPr>
          <w:rFonts w:eastAsia="맑은 고딕" w:hint="eastAsia"/>
        </w:rPr>
        <w:t xml:space="preserve"> as shown in table 1</w:t>
      </w:r>
      <w:r>
        <w:rPr>
          <w:rFonts w:eastAsia="맑은 고딕" w:hint="eastAsia"/>
        </w:rPr>
        <w:t xml:space="preserve">. Based on this </w:t>
      </w:r>
      <w:r w:rsidR="008A6630">
        <w:rPr>
          <w:rFonts w:eastAsia="맑은 고딕"/>
        </w:rPr>
        <w:t>requirement</w:t>
      </w:r>
      <w:r>
        <w:rPr>
          <w:rFonts w:eastAsia="맑은 고딕" w:hint="eastAsia"/>
        </w:rPr>
        <w:t>, the IBE model (</w:t>
      </w:r>
      <w:r w:rsidR="007D12D6">
        <w:rPr>
          <w:rFonts w:eastAsia="맑은 고딕" w:hint="eastAsia"/>
        </w:rPr>
        <w:t>a</w:t>
      </w:r>
      <w:r w:rsidR="007D12D6">
        <w:t xml:space="preserve">ssumptions on value of </w:t>
      </w:r>
      <w:r w:rsidR="007D12D6" w:rsidRPr="001D358D">
        <w:t>W,</w:t>
      </w:r>
      <w:r w:rsidR="007D12D6">
        <w:rPr>
          <w:rFonts w:hint="eastAsia"/>
        </w:rPr>
        <w:t xml:space="preserve"> </w:t>
      </w:r>
      <w:r w:rsidR="007D12D6" w:rsidRPr="001D358D">
        <w:t>X,</w:t>
      </w:r>
      <w:r w:rsidR="007D12D6">
        <w:rPr>
          <w:rFonts w:hint="eastAsia"/>
        </w:rPr>
        <w:t xml:space="preserve"> </w:t>
      </w:r>
      <w:r w:rsidR="007D12D6" w:rsidRPr="001D358D">
        <w:t>Y,</w:t>
      </w:r>
      <w:r w:rsidR="007D12D6">
        <w:t xml:space="preserve"> </w:t>
      </w:r>
      <w:r w:rsidR="007D12D6" w:rsidRPr="001D358D">
        <w:t>Z</w:t>
      </w:r>
      <w:r w:rsidR="007D12D6">
        <w:rPr>
          <w:rFonts w:hint="eastAsia"/>
        </w:rPr>
        <w:t>)</w:t>
      </w:r>
      <w:r>
        <w:rPr>
          <w:rFonts w:eastAsia="맑은 고딕" w:hint="eastAsia"/>
        </w:rPr>
        <w:t xml:space="preserve"> </w:t>
      </w:r>
      <w:r w:rsidR="00D15575">
        <w:rPr>
          <w:rFonts w:eastAsia="맑은 고딕" w:hint="eastAsia"/>
        </w:rPr>
        <w:t>of LTE V2X is</w:t>
      </w:r>
      <w:r w:rsidR="007D12D6">
        <w:rPr>
          <w:rFonts w:eastAsia="맑은 고딕" w:hint="eastAsia"/>
        </w:rPr>
        <w:t xml:space="preserve"> </w:t>
      </w:r>
      <w:r w:rsidR="008A6630">
        <w:rPr>
          <w:rFonts w:eastAsia="맑은 고딕"/>
        </w:rPr>
        <w:t>assumed</w:t>
      </w:r>
      <w:r w:rsidR="008A6630">
        <w:rPr>
          <w:rFonts w:eastAsia="맑은 고딕" w:hint="eastAsia"/>
        </w:rPr>
        <w:t xml:space="preserve"> </w:t>
      </w:r>
      <w:r w:rsidR="007D12D6">
        <w:rPr>
          <w:rFonts w:eastAsia="맑은 고딕" w:hint="eastAsia"/>
        </w:rPr>
        <w:t>in [</w:t>
      </w:r>
      <w:r w:rsidR="00D1409E">
        <w:rPr>
          <w:rFonts w:eastAsia="맑은 고딕" w:hint="eastAsia"/>
        </w:rPr>
        <w:t>2</w:t>
      </w:r>
      <w:r w:rsidR="007D12D6">
        <w:rPr>
          <w:rFonts w:eastAsia="맑은 고딕" w:hint="eastAsia"/>
        </w:rPr>
        <w:t>]</w:t>
      </w:r>
      <w:r w:rsidR="00D15575">
        <w:rPr>
          <w:rFonts w:eastAsia="맑은 고딕" w:hint="eastAsia"/>
        </w:rPr>
        <w:t xml:space="preserve"> as shown in table 2.</w:t>
      </w:r>
      <w:r w:rsidR="007D12D6">
        <w:rPr>
          <w:rFonts w:eastAsia="맑은 고딕" w:hint="eastAsia"/>
        </w:rPr>
        <w:t xml:space="preserve"> In NR, the IBE </w:t>
      </w:r>
      <w:r w:rsidR="004D04C2">
        <w:rPr>
          <w:rFonts w:eastAsia="맑은 고딕" w:hint="eastAsia"/>
        </w:rPr>
        <w:t xml:space="preserve">requirements </w:t>
      </w:r>
      <w:r w:rsidR="007D12D6">
        <w:rPr>
          <w:rFonts w:eastAsia="맑은 고딕" w:hint="eastAsia"/>
        </w:rPr>
        <w:t xml:space="preserve">for FR1 and FR2 </w:t>
      </w:r>
      <w:r w:rsidR="004D04C2">
        <w:rPr>
          <w:rFonts w:eastAsia="맑은 고딕" w:hint="eastAsia"/>
        </w:rPr>
        <w:t>are</w:t>
      </w:r>
      <w:r w:rsidR="007D12D6">
        <w:rPr>
          <w:rFonts w:eastAsia="맑은 고딕" w:hint="eastAsia"/>
        </w:rPr>
        <w:t xml:space="preserve"> specified in [</w:t>
      </w:r>
      <w:r w:rsidR="00D1409E">
        <w:rPr>
          <w:rFonts w:eastAsia="맑은 고딕" w:hint="eastAsia"/>
        </w:rPr>
        <w:t>4</w:t>
      </w:r>
      <w:r w:rsidR="007D12D6">
        <w:rPr>
          <w:rFonts w:eastAsia="맑은 고딕" w:hint="eastAsia"/>
        </w:rPr>
        <w:t>] and [</w:t>
      </w:r>
      <w:r w:rsidR="00D1409E">
        <w:rPr>
          <w:rFonts w:eastAsia="맑은 고딕" w:hint="eastAsia"/>
        </w:rPr>
        <w:t>5</w:t>
      </w:r>
      <w:r w:rsidR="007D12D6">
        <w:rPr>
          <w:rFonts w:eastAsia="맑은 고딕" w:hint="eastAsia"/>
        </w:rPr>
        <w:t>], respectively</w:t>
      </w:r>
      <w:r w:rsidR="00D15575">
        <w:rPr>
          <w:rFonts w:eastAsia="맑은 고딕" w:hint="eastAsia"/>
        </w:rPr>
        <w:t>, as shown in table 3</w:t>
      </w:r>
      <w:r w:rsidR="004D04C2">
        <w:rPr>
          <w:rFonts w:eastAsia="맑은 고딕" w:hint="eastAsia"/>
        </w:rPr>
        <w:t xml:space="preserve"> and table 4</w:t>
      </w:r>
      <w:r w:rsidR="007D12D6">
        <w:rPr>
          <w:rFonts w:eastAsia="맑은 고딕" w:hint="eastAsia"/>
        </w:rPr>
        <w:t xml:space="preserve">. </w:t>
      </w:r>
      <w:r w:rsidR="00EF667A">
        <w:rPr>
          <w:rFonts w:eastAsia="맑은 고딕"/>
        </w:rPr>
        <w:t xml:space="preserve"> </w:t>
      </w:r>
      <w:r w:rsidR="00EF667A" w:rsidRPr="00EF667A">
        <w:rPr>
          <w:rFonts w:eastAsia="맑은 고딕"/>
        </w:rPr>
        <w:t>The IBE model for NR sidelink can use the same W, X, Y, and Z as in LTE for IBE requirements</w:t>
      </w:r>
      <w:r w:rsidR="00EF667A">
        <w:rPr>
          <w:rFonts w:eastAsia="맑은 고딕"/>
        </w:rPr>
        <w:t xml:space="preserve"> </w:t>
      </w:r>
      <w:r w:rsidR="00EF667A">
        <w:rPr>
          <w:rFonts w:eastAsia="맑은 고딕" w:hint="eastAsia"/>
        </w:rPr>
        <w:t xml:space="preserve">of table 3 </w:t>
      </w:r>
      <w:r w:rsidR="00EF667A">
        <w:rPr>
          <w:rFonts w:eastAsia="맑은 고딕"/>
        </w:rPr>
        <w:t>and 4</w:t>
      </w:r>
      <w:r w:rsidR="00EF667A" w:rsidRPr="00EF667A">
        <w:rPr>
          <w:rFonts w:eastAsia="맑은 고딕"/>
        </w:rPr>
        <w:t>.</w:t>
      </w:r>
      <w:r w:rsidR="00EF667A">
        <w:rPr>
          <w:rFonts w:eastAsia="맑은 고딕" w:hint="eastAsia"/>
        </w:rPr>
        <w:t xml:space="preserve"> </w:t>
      </w:r>
    </w:p>
    <w:p w14:paraId="6B0EA950" w14:textId="77777777" w:rsidR="00B2721F" w:rsidRDefault="00B2721F" w:rsidP="00B2721F">
      <w:pPr>
        <w:pStyle w:val="LGTdoc"/>
        <w:spacing w:before="100" w:beforeAutospacing="1" w:afterLines="0" w:after="0" w:line="240" w:lineRule="auto"/>
        <w:rPr>
          <w:b/>
          <w:i/>
          <w:szCs w:val="22"/>
          <w:lang w:val="en-US"/>
        </w:rPr>
      </w:pPr>
      <w:r w:rsidRPr="0065253E">
        <w:rPr>
          <w:b/>
          <w:i/>
          <w:szCs w:val="22"/>
          <w:lang w:val="en-US"/>
        </w:rPr>
        <w:t xml:space="preserve">Proposal </w:t>
      </w:r>
      <w:r>
        <w:rPr>
          <w:rFonts w:hint="eastAsia"/>
          <w:b/>
          <w:i/>
          <w:szCs w:val="22"/>
          <w:lang w:val="en-US"/>
        </w:rPr>
        <w:t>4</w:t>
      </w:r>
      <w:r w:rsidRPr="0065253E">
        <w:rPr>
          <w:b/>
          <w:i/>
          <w:szCs w:val="22"/>
          <w:lang w:val="en-US"/>
        </w:rPr>
        <w:t>:</w:t>
      </w:r>
      <w:r>
        <w:rPr>
          <w:rFonts w:hint="eastAsia"/>
          <w:b/>
          <w:i/>
          <w:szCs w:val="22"/>
          <w:lang w:val="en-US"/>
        </w:rPr>
        <w:t xml:space="preserve"> </w:t>
      </w:r>
      <w:r>
        <w:rPr>
          <w:b/>
          <w:i/>
          <w:szCs w:val="22"/>
          <w:lang w:val="en-US"/>
        </w:rPr>
        <w:t>RAN1 sends an LS to RAN4 to inform the tentative RAN1 assumptions of AGC settling time, Tx/Rx switching period, and IBE model for NR sidelink as shown below and to ask guidance for these assumptions.</w:t>
      </w:r>
    </w:p>
    <w:p w14:paraId="2C8255AE" w14:textId="77777777" w:rsidR="00B2721F" w:rsidRDefault="00B2721F" w:rsidP="00B2721F">
      <w:pPr>
        <w:pStyle w:val="LGTdoc"/>
        <w:numPr>
          <w:ilvl w:val="0"/>
          <w:numId w:val="49"/>
        </w:numPr>
        <w:spacing w:before="100" w:beforeAutospacing="1" w:afterLines="0" w:after="0" w:line="240" w:lineRule="auto"/>
        <w:rPr>
          <w:rFonts w:hint="eastAsia"/>
          <w:b/>
          <w:i/>
          <w:szCs w:val="22"/>
          <w:lang w:val="en-US"/>
        </w:rPr>
      </w:pPr>
      <w:r>
        <w:rPr>
          <w:rFonts w:hint="eastAsia"/>
          <w:b/>
          <w:i/>
          <w:szCs w:val="22"/>
          <w:lang w:val="en-US"/>
        </w:rPr>
        <w:t>RAN1 assumptions</w:t>
      </w:r>
    </w:p>
    <w:p w14:paraId="1F1DB22E" w14:textId="77777777" w:rsidR="00B2721F" w:rsidRDefault="00B2721F" w:rsidP="00B2721F">
      <w:pPr>
        <w:pStyle w:val="LGTdoc"/>
        <w:numPr>
          <w:ilvl w:val="1"/>
          <w:numId w:val="49"/>
        </w:numPr>
        <w:spacing w:before="100" w:beforeAutospacing="1" w:afterLines="0" w:after="0" w:line="240" w:lineRule="auto"/>
        <w:rPr>
          <w:b/>
          <w:i/>
          <w:szCs w:val="22"/>
          <w:lang w:val="en-US"/>
        </w:rPr>
      </w:pPr>
      <w:r>
        <w:rPr>
          <w:b/>
          <w:i/>
          <w:szCs w:val="22"/>
          <w:lang w:val="en-US"/>
        </w:rPr>
        <w:t xml:space="preserve">AGC settling time: up to 70us at least for FR1, FFS for FR2 </w:t>
      </w:r>
    </w:p>
    <w:p w14:paraId="51494A81" w14:textId="77777777" w:rsidR="00B2721F" w:rsidRDefault="00B2721F" w:rsidP="00B2721F">
      <w:pPr>
        <w:pStyle w:val="LGTdoc"/>
        <w:numPr>
          <w:ilvl w:val="1"/>
          <w:numId w:val="49"/>
        </w:numPr>
        <w:spacing w:before="100" w:beforeAutospacing="1" w:afterLines="0" w:after="0" w:line="240" w:lineRule="auto"/>
        <w:rPr>
          <w:b/>
          <w:i/>
          <w:szCs w:val="22"/>
          <w:lang w:val="en-US"/>
        </w:rPr>
      </w:pPr>
      <w:r>
        <w:rPr>
          <w:rFonts w:hint="eastAsia"/>
          <w:b/>
          <w:i/>
          <w:szCs w:val="22"/>
          <w:lang w:val="en-US"/>
        </w:rPr>
        <w:t xml:space="preserve">Tx/Rx switching period: </w:t>
      </w:r>
      <w:r>
        <w:rPr>
          <w:b/>
          <w:i/>
          <w:szCs w:val="22"/>
          <w:lang w:val="en-US"/>
        </w:rPr>
        <w:t>10us for FR1, 5us for FR2</w:t>
      </w:r>
    </w:p>
    <w:p w14:paraId="03BC0EC2" w14:textId="77777777" w:rsidR="00B2721F" w:rsidRDefault="00B2721F" w:rsidP="00B2721F">
      <w:pPr>
        <w:pStyle w:val="LGTdoc"/>
        <w:numPr>
          <w:ilvl w:val="1"/>
          <w:numId w:val="49"/>
        </w:numPr>
        <w:spacing w:before="100" w:beforeAutospacing="1" w:afterLines="0" w:after="0" w:line="240" w:lineRule="auto"/>
        <w:rPr>
          <w:b/>
          <w:i/>
          <w:szCs w:val="22"/>
          <w:lang w:val="en-US"/>
        </w:rPr>
      </w:pPr>
      <w:r>
        <w:rPr>
          <w:b/>
          <w:i/>
          <w:szCs w:val="22"/>
          <w:lang w:val="en-US"/>
        </w:rPr>
        <w:t>Inband e</w:t>
      </w:r>
      <w:bookmarkStart w:id="6" w:name="_GoBack"/>
      <w:bookmarkEnd w:id="6"/>
      <w:r>
        <w:rPr>
          <w:b/>
          <w:i/>
          <w:szCs w:val="22"/>
          <w:lang w:val="en-US"/>
        </w:rPr>
        <w:t>mission model: use IBE requirement for FR1 and FR2 as specified in TS38.101 with applying W,X,Y,Z=[3,6,3,3] values which are defined in TR36.843</w:t>
      </w:r>
    </w:p>
    <w:p w14:paraId="7FF22999" w14:textId="77777777" w:rsidR="008A6630" w:rsidRPr="00B2721F" w:rsidRDefault="008A6630" w:rsidP="00D15575">
      <w:pPr>
        <w:overflowPunct/>
        <w:autoSpaceDE/>
        <w:adjustRightInd/>
        <w:spacing w:after="0"/>
        <w:jc w:val="left"/>
        <w:rPr>
          <w:rFonts w:eastAsia="맑은 고딕"/>
          <w:lang w:val="en-US" w:eastAsia="ko-KR"/>
        </w:rPr>
      </w:pPr>
    </w:p>
    <w:p w14:paraId="7D57867D" w14:textId="77777777" w:rsidR="000D64B5" w:rsidRDefault="000D64B5">
      <w:pPr>
        <w:overflowPunct/>
        <w:autoSpaceDE/>
        <w:autoSpaceDN/>
        <w:adjustRightInd/>
        <w:spacing w:after="0"/>
        <w:jc w:val="left"/>
        <w:textAlignment w:val="auto"/>
        <w:rPr>
          <w:rFonts w:ascii="Times New Roman" w:eastAsia="맑은 고딕" w:hAnsi="Times New Roman"/>
          <w:b/>
          <w:lang w:eastAsia="ko-KR"/>
        </w:rPr>
      </w:pPr>
      <w:r>
        <w:rPr>
          <w:rFonts w:ascii="Times New Roman" w:eastAsia="맑은 고딕" w:hAnsi="Times New Roman"/>
          <w:b/>
          <w:lang w:eastAsia="ko-KR"/>
        </w:rPr>
        <w:br w:type="page"/>
      </w:r>
    </w:p>
    <w:p w14:paraId="0832C467" w14:textId="48F1BFCA" w:rsidR="008A6630" w:rsidRDefault="008A6630" w:rsidP="000D64B5">
      <w:pPr>
        <w:overflowPunct/>
        <w:autoSpaceDE/>
        <w:adjustRightInd/>
        <w:spacing w:after="0"/>
        <w:jc w:val="center"/>
        <w:rPr>
          <w:rFonts w:eastAsia="맑은 고딕"/>
          <w:lang w:eastAsia="ko-KR"/>
        </w:rPr>
      </w:pPr>
      <w:r w:rsidRPr="00D15575">
        <w:rPr>
          <w:rFonts w:ascii="Times New Roman" w:eastAsia="맑은 고딕" w:hAnsi="Times New Roman"/>
          <w:b/>
          <w:lang w:eastAsia="ko-KR"/>
        </w:rPr>
        <w:lastRenderedPageBreak/>
        <w:t>Table 1</w:t>
      </w:r>
      <w:r w:rsidRPr="00D15575">
        <w:rPr>
          <w:rFonts w:ascii="Times New Roman" w:eastAsia="맑은 고딕" w:hAnsi="Times New Roman" w:hint="eastAsia"/>
          <w:b/>
          <w:lang w:eastAsia="ko-KR"/>
        </w:rPr>
        <w:t>.</w:t>
      </w:r>
      <w:r w:rsidR="004D04C2">
        <w:rPr>
          <w:rFonts w:ascii="Times New Roman" w:eastAsia="맑은 고딕" w:hAnsi="Times New Roman" w:hint="eastAsia"/>
          <w:b/>
          <w:lang w:eastAsia="ko-KR"/>
        </w:rPr>
        <w:t xml:space="preserve"> IBE requirement for LTE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1568"/>
        <w:gridCol w:w="1534"/>
        <w:gridCol w:w="5038"/>
      </w:tblGrid>
      <w:tr w:rsidR="00D15575" w:rsidRPr="00505539" w14:paraId="3B274F61" w14:textId="77777777" w:rsidTr="000C5A78">
        <w:trPr>
          <w:jc w:val="center"/>
        </w:trPr>
        <w:tc>
          <w:tcPr>
            <w:tcW w:w="1205" w:type="dxa"/>
            <w:tcBorders>
              <w:bottom w:val="single" w:sz="4" w:space="0" w:color="auto"/>
              <w:right w:val="single" w:sz="4" w:space="0" w:color="auto"/>
            </w:tcBorders>
            <w:shd w:val="clear" w:color="auto" w:fill="auto"/>
            <w:vAlign w:val="center"/>
          </w:tcPr>
          <w:p w14:paraId="5ADB533D" w14:textId="77777777" w:rsidR="00D15575" w:rsidRPr="00505539" w:rsidRDefault="00D15575" w:rsidP="000C5A78">
            <w:pPr>
              <w:pStyle w:val="TAH"/>
              <w:rPr>
                <w:rFonts w:cs="Arial"/>
                <w:i/>
                <w:iCs/>
              </w:rPr>
            </w:pPr>
            <w:r w:rsidRPr="00505539">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2B152C32" w14:textId="77777777" w:rsidR="00D15575" w:rsidRPr="00505539" w:rsidRDefault="00D15575" w:rsidP="000C5A78">
            <w:pPr>
              <w:pStyle w:val="TAH"/>
              <w:rPr>
                <w:rFonts w:cs="Arial"/>
              </w:rPr>
            </w:pPr>
            <w:r w:rsidRPr="00505539">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64D3641" w14:textId="07858BC4" w:rsidR="00D15575" w:rsidRPr="00505539" w:rsidRDefault="00D15575" w:rsidP="004C7F5E">
            <w:pPr>
              <w:pStyle w:val="TAH"/>
              <w:rPr>
                <w:rFonts w:cs="Arial"/>
              </w:rPr>
            </w:pPr>
            <w:r w:rsidRPr="00505539">
              <w:rPr>
                <w:rFonts w:cs="Arial"/>
              </w:rPr>
              <w:t xml:space="preserve">Limit </w:t>
            </w:r>
          </w:p>
        </w:tc>
      </w:tr>
      <w:tr w:rsidR="00D15575" w:rsidRPr="00505539" w14:paraId="18C8FAB5" w14:textId="77777777" w:rsidTr="000C5A7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6E1D0810" w14:textId="77777777" w:rsidR="00D15575" w:rsidRPr="00505539" w:rsidRDefault="00D15575" w:rsidP="000C5A78">
            <w:pPr>
              <w:pStyle w:val="TAH"/>
              <w:rPr>
                <w:rFonts w:cs="Arial"/>
              </w:rPr>
            </w:pPr>
            <w:r w:rsidRPr="00505539">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6ACB471E" w14:textId="77777777" w:rsidR="00D15575" w:rsidRPr="00505539" w:rsidRDefault="00D15575" w:rsidP="000C5A78">
            <w:pPr>
              <w:pStyle w:val="TAC"/>
              <w:rPr>
                <w:rFonts w:cs="Arial"/>
              </w:rPr>
            </w:pPr>
            <w:r w:rsidRPr="00505539">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3744D1A" w14:textId="77777777" w:rsidR="00D15575" w:rsidRPr="00505539" w:rsidRDefault="00D15575" w:rsidP="000C5A78">
            <w:pPr>
              <w:pStyle w:val="TAC"/>
              <w:rPr>
                <w:rFonts w:eastAsia="맑은 고딕" w:cs="Arial"/>
                <w:lang w:eastAsia="ko-KR"/>
              </w:rPr>
            </w:pPr>
            <w:r w:rsidRPr="00505539">
              <w:rPr>
                <w:lang w:eastAsia="ko-KR"/>
              </w:rPr>
              <w:t>For Frame Structure Type 1 and Frame Structure Type 2:</w:t>
            </w:r>
          </w:p>
          <w:p w14:paraId="6FBE9404" w14:textId="77777777" w:rsidR="00D15575" w:rsidRPr="00505539" w:rsidRDefault="00D15575" w:rsidP="000C5A78">
            <w:pPr>
              <w:pStyle w:val="TAC"/>
              <w:rPr>
                <w:rFonts w:cs="Arial"/>
                <w:lang w:eastAsia="ko-KR"/>
              </w:rPr>
            </w:pPr>
            <w:r w:rsidRPr="00505539">
              <w:rPr>
                <w:rFonts w:cs="Arial"/>
                <w:position w:val="-50"/>
              </w:rPr>
              <w:object w:dxaOrig="3980" w:dyaOrig="1120" w14:anchorId="48581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8.45pt;height:45.2pt" o:ole="">
                  <v:imagedata r:id="rId12" o:title=""/>
                </v:shape>
                <o:OLEObject Type="Embed" ProgID="Equation.3" ShapeID="_x0000_i1026" DrawAspect="Content" ObjectID="_1595500395" r:id="rId13"/>
              </w:object>
            </w:r>
          </w:p>
          <w:p w14:paraId="7D4158C8" w14:textId="77777777" w:rsidR="00D15575" w:rsidRPr="00505539" w:rsidRDefault="00D15575" w:rsidP="000C5A78">
            <w:pPr>
              <w:pStyle w:val="TAC"/>
              <w:rPr>
                <w:lang w:eastAsia="ko-KR"/>
              </w:rPr>
            </w:pPr>
            <w:r w:rsidRPr="00505539">
              <w:rPr>
                <w:lang w:eastAsia="ko-KR"/>
              </w:rPr>
              <w:t>For Frame Structure Type 3, 10 MHz and 20 MHz channel bandwidths:</w:t>
            </w:r>
          </w:p>
          <w:p w14:paraId="4EF7F042" w14:textId="78E5C972" w:rsidR="00D15575" w:rsidRPr="00D15575" w:rsidRDefault="00B0742A" w:rsidP="000C5A78">
            <w:pPr>
              <w:pStyle w:val="TAC"/>
              <w:rPr>
                <w:rFonts w:cs="Arial"/>
              </w:rPr>
            </w:pPr>
            <m:oMathPara>
              <m:oMath>
                <m:func>
                  <m:funcPr>
                    <m:ctrlPr>
                      <w:rPr>
                        <w:rFonts w:ascii="Cambria Math" w:hAnsi="Cambria Math"/>
                        <w:i/>
                      </w:rPr>
                    </m:ctrlPr>
                  </m:funcPr>
                  <m:fName>
                    <m:r>
                      <m:rPr>
                        <m:sty m:val="p"/>
                      </m:rPr>
                      <w:rPr>
                        <w:rFonts w:ascii="Cambria Math" w:hAnsi="Cambria Math"/>
                      </w:rPr>
                      <m:t>max</m:t>
                    </m:r>
                  </m:fName>
                  <m:e>
                    <m:d>
                      <m:dPr>
                        <m:begChr m:val="{"/>
                        <m:endChr m:val="}"/>
                        <m:ctrlPr>
                          <w:rPr>
                            <w:rFonts w:ascii="Cambria Math" w:eastAsia="Calibri" w:hAnsi="Cambria Math"/>
                            <w:i/>
                            <w:sz w:val="22"/>
                            <w:szCs w:val="22"/>
                            <w:lang w:val="sv-SE"/>
                          </w:rPr>
                        </m:ctrlPr>
                      </m:dPr>
                      <m:e>
                        <m:eqArr>
                          <m:eqArrPr>
                            <m:ctrlPr>
                              <w:rPr>
                                <w:rFonts w:ascii="Cambria Math" w:hAnsi="Cambria Math"/>
                                <w:i/>
                              </w:rPr>
                            </m:ctrlPr>
                          </m:eqArrPr>
                          <m:e>
                            <m:r>
                              <w:rPr>
                                <w:rFonts w:ascii="Cambria Math" w:hAnsi="Cambria Math"/>
                              </w:rPr>
                              <m:t>-10-6</m:t>
                            </m:r>
                            <m:d>
                              <m:dPr>
                                <m:ctrlPr>
                                  <w:rPr>
                                    <w:rFonts w:ascii="Cambria Math" w:hAnsi="Cambria Math"/>
                                    <w:i/>
                                  </w:rPr>
                                </m:ctrlPr>
                              </m:dPr>
                              <m:e>
                                <m:d>
                                  <m:dPr>
                                    <m:begChr m:val="|"/>
                                    <m:endChr m:val="|"/>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hAnsi="Cambria Math"/>
                                          </w:rPr>
                                          <m:t>∆</m:t>
                                        </m:r>
                                      </m:e>
                                      <m:sub>
                                        <m:r>
                                          <w:rPr>
                                            <w:rFonts w:ascii="Cambria Math" w:hAnsi="Cambria Math"/>
                                          </w:rPr>
                                          <m:t>RB</m:t>
                                        </m:r>
                                      </m:sub>
                                    </m:sSub>
                                  </m:e>
                                </m:d>
                                <m:r>
                                  <w:rPr>
                                    <w:rFonts w:ascii="Cambria Math" w:hAnsi="Cambria Math"/>
                                  </w:rPr>
                                  <m:t>-1</m:t>
                                </m:r>
                              </m:e>
                            </m:d>
                            <m:r>
                              <w:rPr>
                                <w:rFonts w:ascii="Cambria Math" w:hAnsi="Cambria Math"/>
                              </w:rPr>
                              <m:t>,</m:t>
                            </m:r>
                          </m:e>
                          <m:e>
                            <m:r>
                              <w:rPr>
                                <w:rFonts w:ascii="Cambria Math" w:hAnsi="Cambria Math"/>
                              </w:rPr>
                              <m:t>-57 dBm/180 kHz-</m:t>
                            </m:r>
                            <m:sSub>
                              <m:sSubPr>
                                <m:ctrlPr>
                                  <w:rPr>
                                    <w:rFonts w:ascii="Cambria Math" w:eastAsia="Calibri" w:hAnsi="Cambria Math"/>
                                    <w:i/>
                                    <w:sz w:val="22"/>
                                    <w:szCs w:val="22"/>
                                    <w:lang w:val="sv-SE"/>
                                  </w:rPr>
                                </m:ctrlPr>
                              </m:sSubPr>
                              <m:e>
                                <m:r>
                                  <w:rPr>
                                    <w:rFonts w:ascii="Cambria Math" w:hAnsi="Cambria Math"/>
                                  </w:rPr>
                                  <m:t>P</m:t>
                                </m:r>
                              </m:e>
                              <m:sub>
                                <m:r>
                                  <w:rPr>
                                    <w:rFonts w:ascii="Cambria Math" w:hAnsi="Cambria Math"/>
                                  </w:rPr>
                                  <m:t>RB</m:t>
                                </m:r>
                              </m:sub>
                            </m:sSub>
                          </m:e>
                        </m:eqArr>
                      </m:e>
                    </m:d>
                  </m:e>
                </m:func>
              </m:oMath>
            </m:oMathPara>
          </w:p>
        </w:tc>
      </w:tr>
      <w:tr w:rsidR="00D15575" w:rsidRPr="00505539" w14:paraId="260EF94B" w14:textId="77777777" w:rsidTr="000C5A78">
        <w:trPr>
          <w:jc w:val="center"/>
        </w:trPr>
        <w:tc>
          <w:tcPr>
            <w:tcW w:w="1205" w:type="dxa"/>
            <w:vMerge w:val="restart"/>
            <w:tcBorders>
              <w:top w:val="single" w:sz="4" w:space="0" w:color="auto"/>
              <w:right w:val="single" w:sz="4" w:space="0" w:color="auto"/>
            </w:tcBorders>
            <w:shd w:val="clear" w:color="auto" w:fill="auto"/>
            <w:vAlign w:val="center"/>
          </w:tcPr>
          <w:p w14:paraId="7146A65A" w14:textId="77777777" w:rsidR="00D15575" w:rsidRPr="00505539" w:rsidRDefault="00D15575" w:rsidP="000C5A78">
            <w:pPr>
              <w:pStyle w:val="TAH"/>
              <w:rPr>
                <w:rFonts w:cs="Arial"/>
              </w:rPr>
            </w:pPr>
            <w:r w:rsidRPr="00505539">
              <w:rPr>
                <w:rFonts w:cs="Arial"/>
              </w:rPr>
              <w:t>IQ Image</w:t>
            </w:r>
          </w:p>
        </w:tc>
        <w:tc>
          <w:tcPr>
            <w:tcW w:w="1293" w:type="dxa"/>
            <w:vMerge w:val="restart"/>
            <w:tcBorders>
              <w:top w:val="single" w:sz="4" w:space="0" w:color="auto"/>
              <w:left w:val="single" w:sz="4" w:space="0" w:color="auto"/>
              <w:right w:val="single" w:sz="4" w:space="0" w:color="auto"/>
            </w:tcBorders>
            <w:vAlign w:val="center"/>
          </w:tcPr>
          <w:p w14:paraId="3E68B82A" w14:textId="77777777" w:rsidR="00D15575" w:rsidRPr="00505539" w:rsidRDefault="00D15575" w:rsidP="000C5A78">
            <w:pPr>
              <w:pStyle w:val="TAC"/>
              <w:rPr>
                <w:rFonts w:cs="Arial"/>
              </w:rPr>
            </w:pPr>
            <w:r w:rsidRPr="00505539">
              <w:rPr>
                <w:rFonts w:cs="Arial"/>
              </w:rPr>
              <w:t>dB</w:t>
            </w:r>
          </w:p>
        </w:tc>
        <w:tc>
          <w:tcPr>
            <w:tcW w:w="1265" w:type="dxa"/>
            <w:tcBorders>
              <w:top w:val="single" w:sz="4" w:space="0" w:color="auto"/>
              <w:left w:val="single" w:sz="4" w:space="0" w:color="auto"/>
              <w:right w:val="single" w:sz="4" w:space="0" w:color="auto"/>
            </w:tcBorders>
            <w:vAlign w:val="center"/>
          </w:tcPr>
          <w:p w14:paraId="526E0BA2" w14:textId="77777777" w:rsidR="00D15575" w:rsidRPr="00505539" w:rsidRDefault="00D15575" w:rsidP="000C5A78">
            <w:pPr>
              <w:pStyle w:val="TAC"/>
              <w:rPr>
                <w:rFonts w:cs="Arial"/>
              </w:rPr>
            </w:pPr>
            <w:r w:rsidRPr="00505539">
              <w:rPr>
                <w:rFonts w:cs="Arial"/>
              </w:rPr>
              <w:t>-28</w:t>
            </w:r>
          </w:p>
        </w:tc>
        <w:tc>
          <w:tcPr>
            <w:tcW w:w="4155" w:type="dxa"/>
            <w:tcBorders>
              <w:top w:val="single" w:sz="4" w:space="0" w:color="auto"/>
              <w:left w:val="single" w:sz="4" w:space="0" w:color="auto"/>
              <w:right w:val="single" w:sz="4" w:space="0" w:color="auto"/>
            </w:tcBorders>
            <w:vAlign w:val="center"/>
          </w:tcPr>
          <w:p w14:paraId="62C120AA" w14:textId="77777777" w:rsidR="00D15575" w:rsidRPr="00505539" w:rsidRDefault="00D15575" w:rsidP="000C5A78">
            <w:pPr>
              <w:pStyle w:val="TAL"/>
              <w:rPr>
                <w:rFonts w:cs="Arial"/>
              </w:rPr>
            </w:pPr>
            <w:r w:rsidRPr="00505539">
              <w:rPr>
                <w:rFonts w:cs="Arial"/>
              </w:rPr>
              <w:t>Image frequencies when carrier center frequency &lt; 1 GHz and Output power &gt; 10 dBm</w:t>
            </w:r>
          </w:p>
        </w:tc>
      </w:tr>
      <w:tr w:rsidR="00D15575" w:rsidRPr="00505539" w14:paraId="7D71B289" w14:textId="77777777" w:rsidTr="000C5A78">
        <w:trPr>
          <w:jc w:val="center"/>
        </w:trPr>
        <w:tc>
          <w:tcPr>
            <w:tcW w:w="1205" w:type="dxa"/>
            <w:vMerge/>
            <w:tcBorders>
              <w:right w:val="single" w:sz="4" w:space="0" w:color="auto"/>
            </w:tcBorders>
            <w:shd w:val="clear" w:color="auto" w:fill="auto"/>
            <w:vAlign w:val="center"/>
          </w:tcPr>
          <w:p w14:paraId="277E7C6D" w14:textId="77777777" w:rsidR="00D15575" w:rsidRPr="00505539" w:rsidRDefault="00D15575" w:rsidP="000C5A78">
            <w:pPr>
              <w:pStyle w:val="TAH"/>
              <w:rPr>
                <w:rFonts w:cs="Arial"/>
              </w:rPr>
            </w:pPr>
          </w:p>
        </w:tc>
        <w:tc>
          <w:tcPr>
            <w:tcW w:w="1293" w:type="dxa"/>
            <w:vMerge/>
            <w:tcBorders>
              <w:left w:val="single" w:sz="4" w:space="0" w:color="auto"/>
              <w:right w:val="single" w:sz="4" w:space="0" w:color="auto"/>
            </w:tcBorders>
            <w:vAlign w:val="center"/>
          </w:tcPr>
          <w:p w14:paraId="3A7834B2" w14:textId="77777777" w:rsidR="00D15575" w:rsidRPr="00505539" w:rsidRDefault="00D15575" w:rsidP="000C5A78">
            <w:pPr>
              <w:pStyle w:val="TAC"/>
              <w:rPr>
                <w:rFonts w:cs="Arial"/>
              </w:rPr>
            </w:pPr>
          </w:p>
        </w:tc>
        <w:tc>
          <w:tcPr>
            <w:tcW w:w="1265" w:type="dxa"/>
            <w:tcBorders>
              <w:top w:val="single" w:sz="4" w:space="0" w:color="auto"/>
              <w:left w:val="single" w:sz="4" w:space="0" w:color="auto"/>
              <w:right w:val="single" w:sz="4" w:space="0" w:color="auto"/>
            </w:tcBorders>
            <w:vAlign w:val="center"/>
          </w:tcPr>
          <w:p w14:paraId="308A5500" w14:textId="77777777" w:rsidR="00D15575" w:rsidRPr="00505539" w:rsidRDefault="00D15575" w:rsidP="000C5A78">
            <w:pPr>
              <w:pStyle w:val="TAC"/>
              <w:rPr>
                <w:rFonts w:cs="Arial"/>
              </w:rPr>
            </w:pPr>
            <w:r w:rsidRPr="00505539">
              <w:rPr>
                <w:rFonts w:cs="Arial"/>
              </w:rPr>
              <w:t>-25</w:t>
            </w:r>
          </w:p>
        </w:tc>
        <w:tc>
          <w:tcPr>
            <w:tcW w:w="4155" w:type="dxa"/>
            <w:tcBorders>
              <w:top w:val="single" w:sz="4" w:space="0" w:color="auto"/>
              <w:left w:val="single" w:sz="4" w:space="0" w:color="auto"/>
              <w:right w:val="single" w:sz="4" w:space="0" w:color="auto"/>
            </w:tcBorders>
            <w:vAlign w:val="center"/>
          </w:tcPr>
          <w:p w14:paraId="45EBADA7" w14:textId="77777777" w:rsidR="00D15575" w:rsidRPr="00505539" w:rsidRDefault="00D15575" w:rsidP="000C5A78">
            <w:pPr>
              <w:pStyle w:val="TAL"/>
              <w:rPr>
                <w:rFonts w:cs="Arial"/>
              </w:rPr>
            </w:pPr>
            <w:r w:rsidRPr="00505539">
              <w:rPr>
                <w:rFonts w:cs="Arial"/>
              </w:rPr>
              <w:t>Image frequencies when carrier center frequency &lt; 1 GHz and Output power ≤ 10 dBm</w:t>
            </w:r>
          </w:p>
        </w:tc>
      </w:tr>
      <w:tr w:rsidR="00D15575" w:rsidRPr="00505539" w14:paraId="52622C56" w14:textId="77777777" w:rsidTr="000C5A78">
        <w:trPr>
          <w:jc w:val="center"/>
        </w:trPr>
        <w:tc>
          <w:tcPr>
            <w:tcW w:w="1205" w:type="dxa"/>
            <w:vMerge/>
            <w:tcBorders>
              <w:right w:val="single" w:sz="4" w:space="0" w:color="auto"/>
            </w:tcBorders>
            <w:shd w:val="clear" w:color="auto" w:fill="auto"/>
            <w:vAlign w:val="center"/>
          </w:tcPr>
          <w:p w14:paraId="0DDB2DEE" w14:textId="77777777" w:rsidR="00D15575" w:rsidRPr="00505539" w:rsidRDefault="00D15575" w:rsidP="000C5A78">
            <w:pPr>
              <w:pStyle w:val="TAH"/>
              <w:rPr>
                <w:rFonts w:cs="Arial"/>
              </w:rPr>
            </w:pPr>
          </w:p>
        </w:tc>
        <w:tc>
          <w:tcPr>
            <w:tcW w:w="1293" w:type="dxa"/>
            <w:vMerge/>
            <w:tcBorders>
              <w:left w:val="single" w:sz="4" w:space="0" w:color="auto"/>
              <w:right w:val="single" w:sz="4" w:space="0" w:color="auto"/>
            </w:tcBorders>
            <w:vAlign w:val="center"/>
          </w:tcPr>
          <w:p w14:paraId="2C7DB630" w14:textId="77777777" w:rsidR="00D15575" w:rsidRPr="00505539" w:rsidRDefault="00D15575" w:rsidP="000C5A78">
            <w:pPr>
              <w:pStyle w:val="TAC"/>
              <w:rPr>
                <w:rFonts w:cs="Arial"/>
              </w:rPr>
            </w:pPr>
          </w:p>
        </w:tc>
        <w:tc>
          <w:tcPr>
            <w:tcW w:w="1265" w:type="dxa"/>
            <w:tcBorders>
              <w:top w:val="single" w:sz="4" w:space="0" w:color="auto"/>
              <w:left w:val="single" w:sz="4" w:space="0" w:color="auto"/>
              <w:right w:val="single" w:sz="4" w:space="0" w:color="auto"/>
            </w:tcBorders>
            <w:vAlign w:val="center"/>
          </w:tcPr>
          <w:p w14:paraId="6DC32826" w14:textId="77777777" w:rsidR="00D15575" w:rsidRPr="00505539" w:rsidRDefault="00D15575" w:rsidP="000C5A78">
            <w:pPr>
              <w:pStyle w:val="TAC"/>
              <w:rPr>
                <w:rFonts w:cs="Arial"/>
              </w:rPr>
            </w:pPr>
            <w:r w:rsidRPr="00505539">
              <w:rPr>
                <w:rFonts w:cs="Arial"/>
              </w:rPr>
              <w:t>-25</w:t>
            </w:r>
          </w:p>
        </w:tc>
        <w:tc>
          <w:tcPr>
            <w:tcW w:w="4155" w:type="dxa"/>
            <w:tcBorders>
              <w:top w:val="single" w:sz="4" w:space="0" w:color="auto"/>
              <w:left w:val="single" w:sz="4" w:space="0" w:color="auto"/>
              <w:right w:val="single" w:sz="4" w:space="0" w:color="auto"/>
            </w:tcBorders>
            <w:vAlign w:val="center"/>
          </w:tcPr>
          <w:p w14:paraId="72E83C67" w14:textId="77777777" w:rsidR="00D15575" w:rsidRPr="00505539" w:rsidRDefault="00D15575" w:rsidP="000C5A78">
            <w:pPr>
              <w:pStyle w:val="TAL"/>
              <w:rPr>
                <w:rFonts w:cs="Arial"/>
              </w:rPr>
            </w:pPr>
            <w:r w:rsidRPr="00505539">
              <w:rPr>
                <w:rFonts w:cs="Arial"/>
              </w:rPr>
              <w:t>Image frequencies when carrier center frequency ≥ 1 GHz</w:t>
            </w:r>
          </w:p>
        </w:tc>
      </w:tr>
      <w:tr w:rsidR="00D15575" w:rsidRPr="00505539" w14:paraId="004B71AA" w14:textId="77777777" w:rsidTr="000C5A78">
        <w:trPr>
          <w:trHeight w:val="208"/>
          <w:jc w:val="center"/>
        </w:trPr>
        <w:tc>
          <w:tcPr>
            <w:tcW w:w="1205" w:type="dxa"/>
            <w:vMerge w:val="restart"/>
            <w:tcBorders>
              <w:top w:val="single" w:sz="4" w:space="0" w:color="auto"/>
              <w:right w:val="single" w:sz="4" w:space="0" w:color="auto"/>
            </w:tcBorders>
            <w:shd w:val="clear" w:color="auto" w:fill="auto"/>
            <w:vAlign w:val="center"/>
          </w:tcPr>
          <w:p w14:paraId="1B4BAEE5" w14:textId="77777777" w:rsidR="00D15575" w:rsidRPr="00505539" w:rsidRDefault="00D15575" w:rsidP="000C5A78">
            <w:pPr>
              <w:pStyle w:val="TAH"/>
              <w:rPr>
                <w:rFonts w:cs="Arial"/>
              </w:rPr>
            </w:pPr>
            <w:r w:rsidRPr="00505539">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14:paraId="41813DE4" w14:textId="77777777" w:rsidR="00D15575" w:rsidRPr="00505539" w:rsidRDefault="00D15575" w:rsidP="000C5A78">
            <w:pPr>
              <w:pStyle w:val="TAC"/>
              <w:rPr>
                <w:rFonts w:cs="Arial"/>
              </w:rPr>
            </w:pPr>
            <w:r w:rsidRPr="00505539">
              <w:rPr>
                <w:rFonts w:cs="Arial"/>
              </w:rPr>
              <w:t>dBc</w:t>
            </w:r>
          </w:p>
        </w:tc>
        <w:tc>
          <w:tcPr>
            <w:tcW w:w="1265" w:type="dxa"/>
            <w:tcBorders>
              <w:top w:val="single" w:sz="4" w:space="0" w:color="auto"/>
              <w:left w:val="single" w:sz="4" w:space="0" w:color="auto"/>
              <w:right w:val="single" w:sz="4" w:space="0" w:color="auto"/>
            </w:tcBorders>
            <w:vAlign w:val="center"/>
          </w:tcPr>
          <w:p w14:paraId="16301E3C" w14:textId="77777777" w:rsidR="00D15575" w:rsidRPr="00505539" w:rsidRDefault="00D15575" w:rsidP="000C5A78">
            <w:pPr>
              <w:pStyle w:val="TAC"/>
              <w:rPr>
                <w:rFonts w:cs="Arial"/>
              </w:rPr>
            </w:pPr>
            <w:r w:rsidRPr="00505539">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4F04A56F" w14:textId="77777777" w:rsidR="00D15575" w:rsidRPr="00505539" w:rsidRDefault="00D15575" w:rsidP="000C5A78">
            <w:pPr>
              <w:pStyle w:val="TAL"/>
              <w:rPr>
                <w:rFonts w:cs="Arial"/>
              </w:rPr>
            </w:pPr>
            <w:r w:rsidRPr="00505539">
              <w:rPr>
                <w:rFonts w:cs="Arial"/>
              </w:rPr>
              <w:t>Output power &gt; 10 dBm and carrier center frequency &lt; 1 GHz</w:t>
            </w:r>
          </w:p>
        </w:tc>
      </w:tr>
      <w:tr w:rsidR="00D15575" w:rsidRPr="00505539" w14:paraId="10ADF65C" w14:textId="77777777" w:rsidTr="000C5A78">
        <w:trPr>
          <w:trHeight w:val="208"/>
          <w:jc w:val="center"/>
        </w:trPr>
        <w:tc>
          <w:tcPr>
            <w:tcW w:w="1205" w:type="dxa"/>
            <w:vMerge/>
            <w:tcBorders>
              <w:top w:val="single" w:sz="4" w:space="0" w:color="auto"/>
              <w:right w:val="single" w:sz="4" w:space="0" w:color="auto"/>
            </w:tcBorders>
            <w:shd w:val="clear" w:color="auto" w:fill="auto"/>
            <w:vAlign w:val="center"/>
          </w:tcPr>
          <w:p w14:paraId="69542E2B" w14:textId="77777777" w:rsidR="00D15575" w:rsidRPr="00505539" w:rsidRDefault="00D15575" w:rsidP="000C5A78">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5D7C164A" w14:textId="77777777" w:rsidR="00D15575" w:rsidRPr="00505539" w:rsidRDefault="00D15575" w:rsidP="000C5A78">
            <w:pPr>
              <w:pStyle w:val="TAC"/>
              <w:rPr>
                <w:rFonts w:cs="Arial"/>
              </w:rPr>
            </w:pPr>
          </w:p>
        </w:tc>
        <w:tc>
          <w:tcPr>
            <w:tcW w:w="1265" w:type="dxa"/>
            <w:tcBorders>
              <w:top w:val="single" w:sz="4" w:space="0" w:color="auto"/>
              <w:left w:val="single" w:sz="4" w:space="0" w:color="auto"/>
              <w:right w:val="single" w:sz="4" w:space="0" w:color="auto"/>
            </w:tcBorders>
            <w:vAlign w:val="center"/>
          </w:tcPr>
          <w:p w14:paraId="7C7007F8" w14:textId="77777777" w:rsidR="00D15575" w:rsidRPr="00505539" w:rsidRDefault="00D15575" w:rsidP="000C5A78">
            <w:pPr>
              <w:pStyle w:val="TAC"/>
              <w:rPr>
                <w:rFonts w:cs="Arial"/>
              </w:rPr>
            </w:pPr>
            <w:r w:rsidRPr="00505539">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70EEB54B" w14:textId="77777777" w:rsidR="00D15575" w:rsidRPr="00505539" w:rsidRDefault="00D15575" w:rsidP="000C5A78">
            <w:pPr>
              <w:pStyle w:val="TAL"/>
              <w:rPr>
                <w:rFonts w:cs="Arial"/>
              </w:rPr>
            </w:pPr>
            <w:r w:rsidRPr="00505539">
              <w:rPr>
                <w:rFonts w:cs="Arial"/>
              </w:rPr>
              <w:t>Output power &gt; 10 dBm and carrier center frequency ≥ 1 GHz</w:t>
            </w:r>
          </w:p>
        </w:tc>
      </w:tr>
      <w:tr w:rsidR="00D15575" w:rsidRPr="00505539" w14:paraId="12834A99" w14:textId="77777777" w:rsidTr="000C5A78">
        <w:trPr>
          <w:trHeight w:val="208"/>
          <w:jc w:val="center"/>
        </w:trPr>
        <w:tc>
          <w:tcPr>
            <w:tcW w:w="1205" w:type="dxa"/>
            <w:vMerge/>
            <w:tcBorders>
              <w:top w:val="single" w:sz="4" w:space="0" w:color="auto"/>
              <w:right w:val="single" w:sz="4" w:space="0" w:color="auto"/>
            </w:tcBorders>
            <w:shd w:val="clear" w:color="auto" w:fill="auto"/>
            <w:vAlign w:val="center"/>
          </w:tcPr>
          <w:p w14:paraId="7CD0E17D" w14:textId="77777777" w:rsidR="00D15575" w:rsidRPr="00505539" w:rsidRDefault="00D15575" w:rsidP="000C5A78">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74676FD8" w14:textId="77777777" w:rsidR="00D15575" w:rsidRPr="00505539" w:rsidRDefault="00D15575" w:rsidP="000C5A78">
            <w:pPr>
              <w:pStyle w:val="TAC"/>
              <w:rPr>
                <w:rFonts w:cs="Arial"/>
              </w:rPr>
            </w:pPr>
          </w:p>
        </w:tc>
        <w:tc>
          <w:tcPr>
            <w:tcW w:w="1265" w:type="dxa"/>
            <w:tcBorders>
              <w:top w:val="single" w:sz="4" w:space="0" w:color="auto"/>
              <w:left w:val="single" w:sz="4" w:space="0" w:color="auto"/>
              <w:right w:val="single" w:sz="4" w:space="0" w:color="auto"/>
            </w:tcBorders>
            <w:vAlign w:val="center"/>
          </w:tcPr>
          <w:p w14:paraId="3F3A9FFD" w14:textId="77777777" w:rsidR="00D15575" w:rsidRPr="00505539" w:rsidRDefault="00D15575" w:rsidP="000C5A78">
            <w:pPr>
              <w:pStyle w:val="TAC"/>
              <w:rPr>
                <w:rFonts w:cs="Arial"/>
              </w:rPr>
            </w:pPr>
            <w:r w:rsidRPr="00505539">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471883C0" w14:textId="77777777" w:rsidR="00D15575" w:rsidRPr="00505539" w:rsidRDefault="00D15575" w:rsidP="000C5A78">
            <w:pPr>
              <w:pStyle w:val="TAL"/>
              <w:rPr>
                <w:rFonts w:cs="Arial"/>
              </w:rPr>
            </w:pPr>
            <w:r w:rsidRPr="00505539">
              <w:rPr>
                <w:rFonts w:cs="Arial"/>
              </w:rPr>
              <w:t>0 dBm ≤ Output power ≤10 dBm</w:t>
            </w:r>
          </w:p>
        </w:tc>
      </w:tr>
      <w:tr w:rsidR="00D15575" w:rsidRPr="00505539" w14:paraId="51390AB0" w14:textId="77777777" w:rsidTr="000C5A78">
        <w:trPr>
          <w:trHeight w:val="206"/>
          <w:jc w:val="center"/>
        </w:trPr>
        <w:tc>
          <w:tcPr>
            <w:tcW w:w="1205" w:type="dxa"/>
            <w:vMerge/>
            <w:tcBorders>
              <w:right w:val="single" w:sz="4" w:space="0" w:color="auto"/>
            </w:tcBorders>
            <w:shd w:val="clear" w:color="auto" w:fill="auto"/>
            <w:vAlign w:val="center"/>
          </w:tcPr>
          <w:p w14:paraId="51D18DFF" w14:textId="77777777" w:rsidR="00D15575" w:rsidRPr="00505539" w:rsidRDefault="00D15575" w:rsidP="000C5A78">
            <w:pPr>
              <w:spacing w:after="0"/>
              <w:rPr>
                <w:b/>
              </w:rPr>
            </w:pPr>
          </w:p>
        </w:tc>
        <w:tc>
          <w:tcPr>
            <w:tcW w:w="1293" w:type="dxa"/>
            <w:vMerge/>
            <w:tcBorders>
              <w:left w:val="single" w:sz="4" w:space="0" w:color="auto"/>
              <w:right w:val="single" w:sz="4" w:space="0" w:color="auto"/>
            </w:tcBorders>
            <w:vAlign w:val="center"/>
          </w:tcPr>
          <w:p w14:paraId="6F41553D" w14:textId="77777777" w:rsidR="00D15575" w:rsidRPr="00505539" w:rsidRDefault="00D15575" w:rsidP="000C5A78">
            <w:pPr>
              <w:pStyle w:val="TAC"/>
              <w:rPr>
                <w:rFonts w:cs="Arial"/>
              </w:rPr>
            </w:pPr>
          </w:p>
        </w:tc>
        <w:tc>
          <w:tcPr>
            <w:tcW w:w="1265" w:type="dxa"/>
            <w:tcBorders>
              <w:top w:val="single" w:sz="4" w:space="0" w:color="auto"/>
              <w:left w:val="single" w:sz="4" w:space="0" w:color="auto"/>
              <w:right w:val="single" w:sz="4" w:space="0" w:color="auto"/>
            </w:tcBorders>
            <w:vAlign w:val="center"/>
          </w:tcPr>
          <w:p w14:paraId="386FEAB0" w14:textId="77777777" w:rsidR="00D15575" w:rsidRPr="00505539" w:rsidRDefault="00D15575" w:rsidP="000C5A78">
            <w:pPr>
              <w:pStyle w:val="TAC"/>
              <w:rPr>
                <w:rFonts w:cs="Arial"/>
              </w:rPr>
            </w:pPr>
            <w:r w:rsidRPr="00505539">
              <w:rPr>
                <w:rFonts w:cs="Arial"/>
              </w:rPr>
              <w:t>-20</w:t>
            </w:r>
          </w:p>
        </w:tc>
        <w:tc>
          <w:tcPr>
            <w:tcW w:w="4155" w:type="dxa"/>
            <w:tcBorders>
              <w:left w:val="single" w:sz="4" w:space="0" w:color="auto"/>
              <w:right w:val="single" w:sz="4" w:space="0" w:color="auto"/>
            </w:tcBorders>
            <w:shd w:val="clear" w:color="auto" w:fill="auto"/>
            <w:vAlign w:val="center"/>
          </w:tcPr>
          <w:p w14:paraId="388B4093" w14:textId="77777777" w:rsidR="00D15575" w:rsidRPr="00505539" w:rsidRDefault="00D15575" w:rsidP="000C5A78">
            <w:pPr>
              <w:pStyle w:val="TAL"/>
              <w:rPr>
                <w:rFonts w:cs="Arial"/>
              </w:rPr>
            </w:pPr>
            <w:r w:rsidRPr="00505539">
              <w:rPr>
                <w:rFonts w:cs="Arial"/>
              </w:rPr>
              <w:t>-30 dBm ≤ Output power ≤ 0 dBm</w:t>
            </w:r>
          </w:p>
        </w:tc>
      </w:tr>
      <w:tr w:rsidR="00D15575" w:rsidRPr="00505539" w14:paraId="399098B7" w14:textId="77777777" w:rsidTr="000C5A78">
        <w:trPr>
          <w:trHeight w:val="206"/>
          <w:jc w:val="center"/>
        </w:trPr>
        <w:tc>
          <w:tcPr>
            <w:tcW w:w="1205" w:type="dxa"/>
            <w:vMerge/>
            <w:tcBorders>
              <w:right w:val="single" w:sz="4" w:space="0" w:color="auto"/>
            </w:tcBorders>
            <w:shd w:val="clear" w:color="auto" w:fill="auto"/>
            <w:vAlign w:val="center"/>
          </w:tcPr>
          <w:p w14:paraId="145BE020" w14:textId="77777777" w:rsidR="00D15575" w:rsidRPr="00505539" w:rsidRDefault="00D15575" w:rsidP="000C5A78">
            <w:pPr>
              <w:spacing w:after="0"/>
              <w:rPr>
                <w:b/>
              </w:rPr>
            </w:pPr>
          </w:p>
        </w:tc>
        <w:tc>
          <w:tcPr>
            <w:tcW w:w="1293" w:type="dxa"/>
            <w:vMerge/>
            <w:tcBorders>
              <w:left w:val="single" w:sz="4" w:space="0" w:color="auto"/>
              <w:right w:val="single" w:sz="4" w:space="0" w:color="auto"/>
            </w:tcBorders>
            <w:vAlign w:val="center"/>
          </w:tcPr>
          <w:p w14:paraId="23B1EB77" w14:textId="77777777" w:rsidR="00D15575" w:rsidRPr="00505539" w:rsidRDefault="00D15575" w:rsidP="000C5A78">
            <w:pPr>
              <w:pStyle w:val="TAC"/>
              <w:rPr>
                <w:rFonts w:cs="Arial"/>
              </w:rPr>
            </w:pPr>
          </w:p>
        </w:tc>
        <w:tc>
          <w:tcPr>
            <w:tcW w:w="1265" w:type="dxa"/>
            <w:tcBorders>
              <w:top w:val="single" w:sz="4" w:space="0" w:color="auto"/>
              <w:left w:val="single" w:sz="4" w:space="0" w:color="auto"/>
              <w:right w:val="single" w:sz="4" w:space="0" w:color="auto"/>
            </w:tcBorders>
            <w:vAlign w:val="center"/>
          </w:tcPr>
          <w:p w14:paraId="7BA304C6" w14:textId="77777777" w:rsidR="00D15575" w:rsidRPr="00505539" w:rsidRDefault="00D15575" w:rsidP="000C5A78">
            <w:pPr>
              <w:pStyle w:val="TAC"/>
              <w:rPr>
                <w:rFonts w:cs="Arial"/>
              </w:rPr>
            </w:pPr>
            <w:r w:rsidRPr="00505539">
              <w:rPr>
                <w:rFonts w:cs="Arial"/>
              </w:rPr>
              <w:t>-10</w:t>
            </w:r>
          </w:p>
        </w:tc>
        <w:tc>
          <w:tcPr>
            <w:tcW w:w="4155" w:type="dxa"/>
            <w:tcBorders>
              <w:left w:val="single" w:sz="4" w:space="0" w:color="auto"/>
              <w:right w:val="single" w:sz="4" w:space="0" w:color="auto"/>
            </w:tcBorders>
            <w:shd w:val="clear" w:color="auto" w:fill="auto"/>
            <w:vAlign w:val="center"/>
          </w:tcPr>
          <w:p w14:paraId="37FB2A40" w14:textId="77553A6B" w:rsidR="00D15575" w:rsidRPr="004C7F5E" w:rsidRDefault="00D15575" w:rsidP="000C5A78">
            <w:pPr>
              <w:pStyle w:val="TAL"/>
              <w:rPr>
                <w:rFonts w:eastAsia="맑은 고딕" w:cs="Arial"/>
              </w:rPr>
            </w:pPr>
            <w:r w:rsidRPr="00505539">
              <w:rPr>
                <w:rFonts w:cs="Arial"/>
              </w:rPr>
              <w:t xml:space="preserve">-40 dBm </w:t>
            </w:r>
            <w:r w:rsidRPr="00505539">
              <w:rPr>
                <w:rFonts w:cs="Arial"/>
              </w:rPr>
              <w:sym w:font="Symbol" w:char="F0A3"/>
            </w:r>
            <w:r w:rsidRPr="00505539">
              <w:rPr>
                <w:rFonts w:cs="Arial"/>
              </w:rPr>
              <w:t xml:space="preserve"> Output power &lt; -30 dBm</w:t>
            </w:r>
            <w:r w:rsidR="004C7F5E">
              <w:rPr>
                <w:rFonts w:cs="Arial"/>
                <w:vertAlign w:val="superscript"/>
                <w:lang w:eastAsia="ko-KR"/>
              </w:rPr>
              <w:t xml:space="preserve"> </w:t>
            </w:r>
          </w:p>
        </w:tc>
      </w:tr>
    </w:tbl>
    <w:p w14:paraId="1E5A40A8" w14:textId="782E736D" w:rsidR="00D15575" w:rsidRPr="00D15575" w:rsidRDefault="00D15575" w:rsidP="004C7F5E">
      <w:pPr>
        <w:overflowPunct/>
        <w:autoSpaceDE/>
        <w:adjustRightInd/>
        <w:spacing w:after="0"/>
        <w:jc w:val="center"/>
        <w:rPr>
          <w:rFonts w:ascii="Times New Roman" w:eastAsia="맑은 고딕" w:hAnsi="Times New Roman"/>
          <w:b/>
          <w:lang w:eastAsia="ko-KR"/>
        </w:rPr>
      </w:pPr>
    </w:p>
    <w:p w14:paraId="076F2F0C" w14:textId="77777777" w:rsidR="00D15575" w:rsidRDefault="00D15575" w:rsidP="00D15575">
      <w:pPr>
        <w:overflowPunct/>
        <w:autoSpaceDE/>
        <w:adjustRightInd/>
        <w:spacing w:after="0"/>
        <w:jc w:val="left"/>
        <w:rPr>
          <w:rFonts w:eastAsia="맑은 고딕"/>
          <w:lang w:eastAsia="ko-KR"/>
        </w:rPr>
      </w:pPr>
    </w:p>
    <w:p w14:paraId="79FA8DCF" w14:textId="1A00451F" w:rsidR="008A6630" w:rsidRDefault="008A6630" w:rsidP="000D64B5">
      <w:pPr>
        <w:overflowPunct/>
        <w:autoSpaceDE/>
        <w:adjustRightInd/>
        <w:spacing w:after="0"/>
        <w:jc w:val="center"/>
        <w:rPr>
          <w:rFonts w:eastAsia="맑은 고딕"/>
          <w:lang w:eastAsia="ko-KR"/>
        </w:rPr>
      </w:pPr>
      <w:r w:rsidRPr="00D15575">
        <w:rPr>
          <w:rFonts w:ascii="Times New Roman" w:eastAsia="맑은 고딕" w:hAnsi="Times New Roman"/>
          <w:b/>
          <w:lang w:eastAsia="ko-KR"/>
        </w:rPr>
        <w:t xml:space="preserve">Table </w:t>
      </w:r>
      <w:r>
        <w:rPr>
          <w:rFonts w:ascii="Times New Roman" w:eastAsia="맑은 고딕" w:hAnsi="Times New Roman" w:hint="eastAsia"/>
          <w:b/>
          <w:lang w:eastAsia="ko-KR"/>
        </w:rPr>
        <w:t>2</w:t>
      </w:r>
      <w:r w:rsidRPr="00D15575">
        <w:rPr>
          <w:rFonts w:ascii="Times New Roman" w:eastAsia="맑은 고딕" w:hAnsi="Times New Roman" w:hint="eastAsia"/>
          <w:b/>
          <w:lang w:eastAsia="ko-KR"/>
        </w:rPr>
        <w:t>.</w:t>
      </w:r>
      <w:r w:rsidR="004D04C2">
        <w:rPr>
          <w:rFonts w:ascii="Times New Roman" w:eastAsia="맑은 고딕" w:hAnsi="Times New Roman" w:hint="eastAsia"/>
          <w:b/>
          <w:lang w:eastAsia="ko-KR"/>
        </w:rPr>
        <w:t xml:space="preserve"> IBE model for LTE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566"/>
        <w:gridCol w:w="657"/>
        <w:gridCol w:w="6948"/>
      </w:tblGrid>
      <w:tr w:rsidR="004C7F5E" w:rsidRPr="00034250" w14:paraId="097A9ED9" w14:textId="77777777" w:rsidTr="004C7F5E">
        <w:trPr>
          <w:cantSplit/>
          <w:jc w:val="center"/>
        </w:trPr>
        <w:tc>
          <w:tcPr>
            <w:tcW w:w="0" w:type="auto"/>
            <w:tcBorders>
              <w:bottom w:val="single" w:sz="4" w:space="0" w:color="auto"/>
              <w:right w:val="single" w:sz="4" w:space="0" w:color="auto"/>
            </w:tcBorders>
            <w:shd w:val="clear" w:color="auto" w:fill="auto"/>
            <w:vAlign w:val="center"/>
          </w:tcPr>
          <w:p w14:paraId="3C21EDF5" w14:textId="77777777" w:rsidR="004C7F5E" w:rsidRDefault="004C7F5E" w:rsidP="000C5A78">
            <w:pPr>
              <w:pStyle w:val="TAH"/>
            </w:pPr>
            <w:r w:rsidRPr="00034250">
              <w:t xml:space="preserve">Parameter </w:t>
            </w:r>
          </w:p>
          <w:p w14:paraId="7CB292FD" w14:textId="77777777" w:rsidR="004C7F5E" w:rsidRPr="00034250" w:rsidRDefault="004C7F5E" w:rsidP="000C5A78">
            <w:pPr>
              <w:pStyle w:val="TAH"/>
              <w:rPr>
                <w:i/>
                <w:iCs/>
              </w:rPr>
            </w:pPr>
            <w:r w:rsidRPr="00034250">
              <w:t>description</w:t>
            </w:r>
          </w:p>
        </w:tc>
        <w:tc>
          <w:tcPr>
            <w:tcW w:w="0" w:type="auto"/>
            <w:tcBorders>
              <w:left w:val="single" w:sz="4" w:space="0" w:color="auto"/>
              <w:bottom w:val="single" w:sz="4" w:space="0" w:color="auto"/>
              <w:right w:val="single" w:sz="4" w:space="0" w:color="auto"/>
            </w:tcBorders>
            <w:shd w:val="clear" w:color="auto" w:fill="auto"/>
            <w:vAlign w:val="center"/>
          </w:tcPr>
          <w:p w14:paraId="69BDDC95" w14:textId="77777777" w:rsidR="004C7F5E" w:rsidRPr="00034250" w:rsidRDefault="004C7F5E" w:rsidP="000C5A78">
            <w:pPr>
              <w:pStyle w:val="TAH"/>
            </w:pPr>
            <w:r w:rsidRPr="00034250">
              <w:t>Unit</w:t>
            </w:r>
          </w:p>
        </w:tc>
        <w:tc>
          <w:tcPr>
            <w:tcW w:w="0" w:type="auto"/>
            <w:gridSpan w:val="2"/>
            <w:tcBorders>
              <w:left w:val="single" w:sz="4" w:space="0" w:color="auto"/>
              <w:bottom w:val="single" w:sz="4" w:space="0" w:color="auto"/>
              <w:right w:val="single" w:sz="4" w:space="0" w:color="auto"/>
            </w:tcBorders>
            <w:shd w:val="clear" w:color="auto" w:fill="auto"/>
            <w:vAlign w:val="center"/>
          </w:tcPr>
          <w:p w14:paraId="33C436E4" w14:textId="41887F2E" w:rsidR="004C7F5E" w:rsidRPr="00034250" w:rsidRDefault="004C7F5E" w:rsidP="004C7F5E">
            <w:pPr>
              <w:pStyle w:val="TAH"/>
            </w:pPr>
            <w:r w:rsidRPr="00034250">
              <w:t xml:space="preserve">Limit </w:t>
            </w:r>
          </w:p>
        </w:tc>
      </w:tr>
      <w:tr w:rsidR="004C7F5E" w:rsidRPr="00034250" w14:paraId="15BB017D" w14:textId="77777777" w:rsidTr="000C5A78">
        <w:trPr>
          <w:cantSplit/>
          <w:jc w:val="center"/>
        </w:trPr>
        <w:tc>
          <w:tcPr>
            <w:tcW w:w="0" w:type="auto"/>
            <w:tcBorders>
              <w:top w:val="single" w:sz="4" w:space="0" w:color="auto"/>
              <w:bottom w:val="single" w:sz="4" w:space="0" w:color="auto"/>
              <w:right w:val="single" w:sz="4" w:space="0" w:color="auto"/>
            </w:tcBorders>
            <w:shd w:val="clear" w:color="auto" w:fill="auto"/>
            <w:vAlign w:val="center"/>
          </w:tcPr>
          <w:p w14:paraId="402CB264" w14:textId="77777777" w:rsidR="004C7F5E" w:rsidRPr="00034250" w:rsidRDefault="004C7F5E" w:rsidP="000C5A78">
            <w:pPr>
              <w:pStyle w:val="TAH"/>
            </w:pPr>
            <w:r w:rsidRPr="00034250">
              <w:t>General</w:t>
            </w:r>
          </w:p>
        </w:tc>
        <w:tc>
          <w:tcPr>
            <w:tcW w:w="0" w:type="auto"/>
            <w:tcBorders>
              <w:top w:val="single" w:sz="4" w:space="0" w:color="auto"/>
              <w:left w:val="single" w:sz="4" w:space="0" w:color="auto"/>
              <w:bottom w:val="single" w:sz="4" w:space="0" w:color="auto"/>
              <w:right w:val="single" w:sz="4" w:space="0" w:color="auto"/>
            </w:tcBorders>
            <w:vAlign w:val="center"/>
          </w:tcPr>
          <w:p w14:paraId="0DC46BB7" w14:textId="77777777" w:rsidR="004C7F5E" w:rsidRPr="00034250" w:rsidRDefault="004C7F5E" w:rsidP="000C5A78">
            <w:pPr>
              <w:pStyle w:val="TAC"/>
            </w:pPr>
            <w:r w:rsidRPr="00034250">
              <w:t>dB</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3650699" w14:textId="77777777" w:rsidR="004C7F5E" w:rsidRPr="00034250" w:rsidRDefault="004C7F5E" w:rsidP="000C5A78">
            <w:pPr>
              <w:pStyle w:val="TAC"/>
              <w:rPr>
                <w:rFonts w:ascii="Times New Roman" w:hAnsi="Times New Roman"/>
                <w:sz w:val="20"/>
              </w:rPr>
            </w:pPr>
            <w:r w:rsidRPr="00034250">
              <w:rPr>
                <w:rFonts w:ascii="Times New Roman" w:hAnsi="Times New Roman"/>
                <w:position w:val="-52"/>
                <w:sz w:val="20"/>
              </w:rPr>
              <w:object w:dxaOrig="7200" w:dyaOrig="1160" w14:anchorId="53BAB0EA">
                <v:shape id="_x0000_i1027" type="#_x0000_t75" style="width:322.45pt;height:46.7pt" o:ole="">
                  <v:imagedata r:id="rId14" o:title=""/>
                </v:shape>
                <o:OLEObject Type="Embed" ProgID="Equation.3" ShapeID="_x0000_i1027" DrawAspect="Content" ObjectID="_1595500396" r:id="rId15"/>
              </w:object>
            </w:r>
          </w:p>
        </w:tc>
      </w:tr>
      <w:tr w:rsidR="004C7F5E" w:rsidRPr="00034250" w14:paraId="0B676DCD" w14:textId="77777777" w:rsidTr="000C5A78">
        <w:trPr>
          <w:cantSplit/>
          <w:jc w:val="center"/>
        </w:trPr>
        <w:tc>
          <w:tcPr>
            <w:tcW w:w="0" w:type="auto"/>
            <w:vMerge w:val="restart"/>
            <w:tcBorders>
              <w:top w:val="single" w:sz="4" w:space="0" w:color="auto"/>
              <w:right w:val="single" w:sz="4" w:space="0" w:color="auto"/>
            </w:tcBorders>
            <w:shd w:val="clear" w:color="auto" w:fill="auto"/>
            <w:vAlign w:val="center"/>
          </w:tcPr>
          <w:p w14:paraId="4234CD16" w14:textId="77777777" w:rsidR="004C7F5E" w:rsidRPr="00034250" w:rsidRDefault="004C7F5E" w:rsidP="000C5A78">
            <w:pPr>
              <w:pStyle w:val="TAH"/>
            </w:pPr>
            <w:r w:rsidRPr="00034250">
              <w:t>IQ Image</w:t>
            </w:r>
          </w:p>
        </w:tc>
        <w:tc>
          <w:tcPr>
            <w:tcW w:w="0" w:type="auto"/>
            <w:vMerge w:val="restart"/>
            <w:tcBorders>
              <w:top w:val="single" w:sz="4" w:space="0" w:color="auto"/>
              <w:left w:val="single" w:sz="4" w:space="0" w:color="auto"/>
              <w:right w:val="single" w:sz="4" w:space="0" w:color="auto"/>
            </w:tcBorders>
            <w:vAlign w:val="center"/>
          </w:tcPr>
          <w:p w14:paraId="7EAC9310" w14:textId="77777777" w:rsidR="004C7F5E" w:rsidRPr="00034250" w:rsidRDefault="004C7F5E" w:rsidP="000C5A78">
            <w:pPr>
              <w:pStyle w:val="TAC"/>
            </w:pPr>
            <w:r w:rsidRPr="00034250">
              <w:t>dB</w:t>
            </w:r>
          </w:p>
        </w:tc>
        <w:tc>
          <w:tcPr>
            <w:tcW w:w="0" w:type="auto"/>
            <w:tcBorders>
              <w:top w:val="single" w:sz="4" w:space="0" w:color="auto"/>
              <w:left w:val="single" w:sz="4" w:space="0" w:color="auto"/>
              <w:right w:val="single" w:sz="4" w:space="0" w:color="auto"/>
            </w:tcBorders>
            <w:vAlign w:val="center"/>
          </w:tcPr>
          <w:p w14:paraId="3D92D75B" w14:textId="77777777" w:rsidR="004C7F5E" w:rsidRPr="00034250" w:rsidRDefault="004C7F5E" w:rsidP="000C5A78">
            <w:pPr>
              <w:pStyle w:val="TAC"/>
            </w:pPr>
            <w:r w:rsidRPr="00034250">
              <w:t>-28-Y</w:t>
            </w:r>
          </w:p>
        </w:tc>
        <w:tc>
          <w:tcPr>
            <w:tcW w:w="0" w:type="auto"/>
            <w:tcBorders>
              <w:top w:val="single" w:sz="4" w:space="0" w:color="auto"/>
              <w:left w:val="single" w:sz="4" w:space="0" w:color="auto"/>
              <w:right w:val="single" w:sz="4" w:space="0" w:color="auto"/>
            </w:tcBorders>
            <w:vAlign w:val="center"/>
          </w:tcPr>
          <w:p w14:paraId="455C925A" w14:textId="77777777" w:rsidR="004C7F5E" w:rsidRPr="00034250" w:rsidRDefault="004C7F5E" w:rsidP="000C5A78">
            <w:pPr>
              <w:pStyle w:val="TAL"/>
            </w:pPr>
            <w:r w:rsidRPr="00034250">
              <w:t>Image frequencies when carrier center frequency &lt; 1 GHz and Output power &gt; 10 dBm</w:t>
            </w:r>
          </w:p>
        </w:tc>
      </w:tr>
      <w:tr w:rsidR="004C7F5E" w:rsidRPr="0031761B" w14:paraId="4BC73247" w14:textId="77777777" w:rsidTr="000C5A78">
        <w:trPr>
          <w:cantSplit/>
          <w:jc w:val="center"/>
        </w:trPr>
        <w:tc>
          <w:tcPr>
            <w:tcW w:w="0" w:type="auto"/>
            <w:vMerge/>
            <w:tcBorders>
              <w:right w:val="single" w:sz="4" w:space="0" w:color="auto"/>
            </w:tcBorders>
            <w:shd w:val="clear" w:color="auto" w:fill="auto"/>
            <w:vAlign w:val="center"/>
          </w:tcPr>
          <w:p w14:paraId="19EC028E" w14:textId="77777777" w:rsidR="004C7F5E" w:rsidRPr="0031761B" w:rsidRDefault="004C7F5E" w:rsidP="000C5A78">
            <w:pPr>
              <w:pStyle w:val="TAH"/>
            </w:pPr>
          </w:p>
        </w:tc>
        <w:tc>
          <w:tcPr>
            <w:tcW w:w="0" w:type="auto"/>
            <w:vMerge/>
            <w:tcBorders>
              <w:left w:val="single" w:sz="4" w:space="0" w:color="auto"/>
              <w:right w:val="single" w:sz="4" w:space="0" w:color="auto"/>
            </w:tcBorders>
            <w:vAlign w:val="center"/>
          </w:tcPr>
          <w:p w14:paraId="0E2AB417" w14:textId="77777777" w:rsidR="004C7F5E" w:rsidRPr="0031761B" w:rsidRDefault="004C7F5E" w:rsidP="000C5A78">
            <w:pPr>
              <w:pStyle w:val="TAC"/>
            </w:pPr>
          </w:p>
        </w:tc>
        <w:tc>
          <w:tcPr>
            <w:tcW w:w="0" w:type="auto"/>
            <w:tcBorders>
              <w:top w:val="single" w:sz="4" w:space="0" w:color="auto"/>
              <w:left w:val="single" w:sz="4" w:space="0" w:color="auto"/>
              <w:right w:val="single" w:sz="4" w:space="0" w:color="auto"/>
            </w:tcBorders>
            <w:vAlign w:val="center"/>
          </w:tcPr>
          <w:p w14:paraId="174B9A2B" w14:textId="77777777" w:rsidR="004C7F5E" w:rsidRPr="0031761B" w:rsidRDefault="004C7F5E" w:rsidP="000C5A78">
            <w:pPr>
              <w:pStyle w:val="TAC"/>
            </w:pPr>
            <w:r w:rsidRPr="0031761B">
              <w:t>-25-Y</w:t>
            </w:r>
          </w:p>
        </w:tc>
        <w:tc>
          <w:tcPr>
            <w:tcW w:w="0" w:type="auto"/>
            <w:tcBorders>
              <w:top w:val="single" w:sz="4" w:space="0" w:color="auto"/>
              <w:left w:val="single" w:sz="4" w:space="0" w:color="auto"/>
              <w:right w:val="single" w:sz="4" w:space="0" w:color="auto"/>
            </w:tcBorders>
            <w:vAlign w:val="center"/>
          </w:tcPr>
          <w:p w14:paraId="4A6625DB" w14:textId="77777777" w:rsidR="004C7F5E" w:rsidRPr="0031761B" w:rsidRDefault="004C7F5E" w:rsidP="000C5A78">
            <w:pPr>
              <w:pStyle w:val="TAL"/>
            </w:pPr>
            <w:r w:rsidRPr="0031761B">
              <w:t>Image frequencies when carrier center frequency &lt; 1 GHz and Output power ≤ 10 dBm</w:t>
            </w:r>
          </w:p>
        </w:tc>
      </w:tr>
      <w:tr w:rsidR="004C7F5E" w:rsidRPr="0031761B" w14:paraId="0584781E" w14:textId="77777777" w:rsidTr="000C5A78">
        <w:trPr>
          <w:cantSplit/>
          <w:jc w:val="center"/>
        </w:trPr>
        <w:tc>
          <w:tcPr>
            <w:tcW w:w="0" w:type="auto"/>
            <w:vMerge/>
            <w:tcBorders>
              <w:right w:val="single" w:sz="4" w:space="0" w:color="auto"/>
            </w:tcBorders>
            <w:shd w:val="clear" w:color="auto" w:fill="auto"/>
            <w:vAlign w:val="center"/>
          </w:tcPr>
          <w:p w14:paraId="33E0A0F7" w14:textId="77777777" w:rsidR="004C7F5E" w:rsidRPr="0031761B" w:rsidRDefault="004C7F5E" w:rsidP="000C5A78">
            <w:pPr>
              <w:pStyle w:val="TAH"/>
            </w:pPr>
          </w:p>
        </w:tc>
        <w:tc>
          <w:tcPr>
            <w:tcW w:w="0" w:type="auto"/>
            <w:vMerge/>
            <w:tcBorders>
              <w:left w:val="single" w:sz="4" w:space="0" w:color="auto"/>
              <w:right w:val="single" w:sz="4" w:space="0" w:color="auto"/>
            </w:tcBorders>
            <w:vAlign w:val="center"/>
          </w:tcPr>
          <w:p w14:paraId="4B8BEF08" w14:textId="77777777" w:rsidR="004C7F5E" w:rsidRPr="0031761B" w:rsidRDefault="004C7F5E" w:rsidP="000C5A78">
            <w:pPr>
              <w:pStyle w:val="TAC"/>
            </w:pPr>
          </w:p>
        </w:tc>
        <w:tc>
          <w:tcPr>
            <w:tcW w:w="0" w:type="auto"/>
            <w:tcBorders>
              <w:top w:val="single" w:sz="4" w:space="0" w:color="auto"/>
              <w:left w:val="single" w:sz="4" w:space="0" w:color="auto"/>
              <w:right w:val="single" w:sz="4" w:space="0" w:color="auto"/>
            </w:tcBorders>
            <w:vAlign w:val="center"/>
          </w:tcPr>
          <w:p w14:paraId="525DF4CD" w14:textId="77777777" w:rsidR="004C7F5E" w:rsidRPr="0031761B" w:rsidRDefault="004C7F5E" w:rsidP="000C5A78">
            <w:pPr>
              <w:pStyle w:val="TAC"/>
            </w:pPr>
            <w:r w:rsidRPr="0031761B">
              <w:t>-25-Y</w:t>
            </w:r>
          </w:p>
        </w:tc>
        <w:tc>
          <w:tcPr>
            <w:tcW w:w="0" w:type="auto"/>
            <w:tcBorders>
              <w:top w:val="single" w:sz="4" w:space="0" w:color="auto"/>
              <w:left w:val="single" w:sz="4" w:space="0" w:color="auto"/>
              <w:right w:val="single" w:sz="4" w:space="0" w:color="auto"/>
            </w:tcBorders>
            <w:vAlign w:val="center"/>
          </w:tcPr>
          <w:p w14:paraId="79852FB7" w14:textId="77777777" w:rsidR="004C7F5E" w:rsidRPr="0031761B" w:rsidRDefault="004C7F5E" w:rsidP="000C5A78">
            <w:pPr>
              <w:pStyle w:val="TAL"/>
            </w:pPr>
            <w:r w:rsidRPr="0031761B">
              <w:t>Image frequencies when carrier center frequency ≥ 1 GHz</w:t>
            </w:r>
          </w:p>
        </w:tc>
      </w:tr>
      <w:tr w:rsidR="004C7F5E" w:rsidRPr="00034250" w14:paraId="7BA5F733" w14:textId="77777777" w:rsidTr="000C5A78">
        <w:trPr>
          <w:cantSplit/>
          <w:jc w:val="center"/>
        </w:trPr>
        <w:tc>
          <w:tcPr>
            <w:tcW w:w="0" w:type="auto"/>
            <w:vMerge w:val="restart"/>
            <w:tcBorders>
              <w:top w:val="single" w:sz="4" w:space="0" w:color="auto"/>
              <w:right w:val="single" w:sz="4" w:space="0" w:color="auto"/>
            </w:tcBorders>
            <w:shd w:val="clear" w:color="auto" w:fill="auto"/>
            <w:vAlign w:val="center"/>
          </w:tcPr>
          <w:p w14:paraId="4600DB75" w14:textId="77777777" w:rsidR="004C7F5E" w:rsidRPr="00034250" w:rsidRDefault="004C7F5E" w:rsidP="000C5A78">
            <w:pPr>
              <w:pStyle w:val="TAH"/>
            </w:pPr>
            <w:r w:rsidRPr="00034250">
              <w:t>Carrier leakage</w:t>
            </w:r>
          </w:p>
        </w:tc>
        <w:tc>
          <w:tcPr>
            <w:tcW w:w="0" w:type="auto"/>
            <w:vMerge w:val="restart"/>
            <w:tcBorders>
              <w:top w:val="single" w:sz="4" w:space="0" w:color="auto"/>
              <w:left w:val="single" w:sz="4" w:space="0" w:color="auto"/>
              <w:right w:val="single" w:sz="4" w:space="0" w:color="auto"/>
            </w:tcBorders>
            <w:vAlign w:val="center"/>
          </w:tcPr>
          <w:p w14:paraId="29EFF910" w14:textId="77777777" w:rsidR="004C7F5E" w:rsidRPr="00034250" w:rsidRDefault="004C7F5E" w:rsidP="000C5A78">
            <w:pPr>
              <w:pStyle w:val="TAC"/>
            </w:pPr>
            <w:r w:rsidRPr="00034250">
              <w:t>dBc</w:t>
            </w:r>
          </w:p>
        </w:tc>
        <w:tc>
          <w:tcPr>
            <w:tcW w:w="0" w:type="auto"/>
            <w:tcBorders>
              <w:top w:val="single" w:sz="4" w:space="0" w:color="auto"/>
              <w:left w:val="single" w:sz="4" w:space="0" w:color="auto"/>
              <w:right w:val="single" w:sz="4" w:space="0" w:color="auto"/>
            </w:tcBorders>
            <w:vAlign w:val="center"/>
          </w:tcPr>
          <w:p w14:paraId="7632A151" w14:textId="77777777" w:rsidR="004C7F5E" w:rsidRPr="00034250" w:rsidRDefault="004C7F5E" w:rsidP="000C5A78">
            <w:pPr>
              <w:pStyle w:val="TAC"/>
            </w:pPr>
            <w:r w:rsidRPr="00034250">
              <w:t>-28-Z</w:t>
            </w:r>
          </w:p>
        </w:tc>
        <w:tc>
          <w:tcPr>
            <w:tcW w:w="0" w:type="auto"/>
            <w:tcBorders>
              <w:top w:val="single" w:sz="4" w:space="0" w:color="auto"/>
              <w:left w:val="single" w:sz="4" w:space="0" w:color="auto"/>
              <w:right w:val="single" w:sz="4" w:space="0" w:color="auto"/>
            </w:tcBorders>
            <w:shd w:val="clear" w:color="auto" w:fill="auto"/>
            <w:vAlign w:val="center"/>
          </w:tcPr>
          <w:p w14:paraId="0F639DB6" w14:textId="77777777" w:rsidR="004C7F5E" w:rsidRPr="00034250" w:rsidRDefault="004C7F5E" w:rsidP="000C5A78">
            <w:pPr>
              <w:pStyle w:val="TAL"/>
            </w:pPr>
            <w:r w:rsidRPr="00034250">
              <w:t>Output power &gt; 10 dBm and carrier center frequency &lt; 1 GHz</w:t>
            </w:r>
          </w:p>
        </w:tc>
      </w:tr>
      <w:tr w:rsidR="004C7F5E" w:rsidRPr="0031761B" w14:paraId="2524E25A" w14:textId="77777777" w:rsidTr="000C5A78">
        <w:trPr>
          <w:cantSplit/>
          <w:jc w:val="center"/>
        </w:trPr>
        <w:tc>
          <w:tcPr>
            <w:tcW w:w="0" w:type="auto"/>
            <w:vMerge/>
            <w:tcBorders>
              <w:top w:val="single" w:sz="4" w:space="0" w:color="auto"/>
              <w:right w:val="single" w:sz="4" w:space="0" w:color="auto"/>
            </w:tcBorders>
            <w:shd w:val="clear" w:color="auto" w:fill="auto"/>
            <w:vAlign w:val="center"/>
          </w:tcPr>
          <w:p w14:paraId="2909668D" w14:textId="77777777" w:rsidR="004C7F5E" w:rsidRPr="0031761B" w:rsidRDefault="004C7F5E" w:rsidP="000C5A78">
            <w:pPr>
              <w:pStyle w:val="TAH"/>
              <w:rPr>
                <w:rFonts w:ascii="Times New Roman" w:hAnsi="Times New Roman"/>
                <w:b w:val="0"/>
                <w:sz w:val="20"/>
              </w:rPr>
            </w:pPr>
          </w:p>
        </w:tc>
        <w:tc>
          <w:tcPr>
            <w:tcW w:w="0" w:type="auto"/>
            <w:vMerge/>
            <w:tcBorders>
              <w:top w:val="single" w:sz="4" w:space="0" w:color="auto"/>
              <w:left w:val="single" w:sz="4" w:space="0" w:color="auto"/>
              <w:right w:val="single" w:sz="4" w:space="0" w:color="auto"/>
            </w:tcBorders>
            <w:vAlign w:val="center"/>
          </w:tcPr>
          <w:p w14:paraId="68AFEEFC" w14:textId="77777777" w:rsidR="004C7F5E" w:rsidRPr="0031761B" w:rsidRDefault="004C7F5E" w:rsidP="000C5A78">
            <w:pPr>
              <w:pStyle w:val="TAC"/>
              <w:rPr>
                <w:rFonts w:ascii="Times New Roman" w:hAnsi="Times New Roman"/>
                <w:sz w:val="20"/>
              </w:rPr>
            </w:pPr>
          </w:p>
        </w:tc>
        <w:tc>
          <w:tcPr>
            <w:tcW w:w="0" w:type="auto"/>
            <w:tcBorders>
              <w:top w:val="single" w:sz="4" w:space="0" w:color="auto"/>
              <w:left w:val="single" w:sz="4" w:space="0" w:color="auto"/>
              <w:right w:val="single" w:sz="4" w:space="0" w:color="auto"/>
            </w:tcBorders>
            <w:vAlign w:val="center"/>
          </w:tcPr>
          <w:p w14:paraId="4070297D" w14:textId="77777777" w:rsidR="004C7F5E" w:rsidRPr="0031761B" w:rsidRDefault="004C7F5E" w:rsidP="000C5A78">
            <w:pPr>
              <w:pStyle w:val="TAC"/>
            </w:pPr>
            <w:r w:rsidRPr="0031761B">
              <w:t>-25-Z</w:t>
            </w:r>
          </w:p>
        </w:tc>
        <w:tc>
          <w:tcPr>
            <w:tcW w:w="0" w:type="auto"/>
            <w:tcBorders>
              <w:top w:val="single" w:sz="4" w:space="0" w:color="auto"/>
              <w:left w:val="single" w:sz="4" w:space="0" w:color="auto"/>
              <w:right w:val="single" w:sz="4" w:space="0" w:color="auto"/>
            </w:tcBorders>
            <w:shd w:val="clear" w:color="auto" w:fill="auto"/>
            <w:vAlign w:val="center"/>
          </w:tcPr>
          <w:p w14:paraId="29F4887D" w14:textId="77777777" w:rsidR="004C7F5E" w:rsidRPr="0031761B" w:rsidRDefault="004C7F5E" w:rsidP="000C5A78">
            <w:pPr>
              <w:pStyle w:val="TAL"/>
            </w:pPr>
            <w:r w:rsidRPr="0031761B">
              <w:t>Output power &gt; 10 dBm and carrier center frequency ≥ 1 GHz</w:t>
            </w:r>
          </w:p>
        </w:tc>
      </w:tr>
      <w:tr w:rsidR="004C7F5E" w:rsidRPr="0031761B" w14:paraId="44AD95D8" w14:textId="77777777" w:rsidTr="000C5A78">
        <w:trPr>
          <w:cantSplit/>
          <w:jc w:val="center"/>
        </w:trPr>
        <w:tc>
          <w:tcPr>
            <w:tcW w:w="0" w:type="auto"/>
            <w:vMerge/>
            <w:tcBorders>
              <w:top w:val="single" w:sz="4" w:space="0" w:color="auto"/>
              <w:right w:val="single" w:sz="4" w:space="0" w:color="auto"/>
            </w:tcBorders>
            <w:shd w:val="clear" w:color="auto" w:fill="auto"/>
            <w:vAlign w:val="center"/>
          </w:tcPr>
          <w:p w14:paraId="130C605A" w14:textId="77777777" w:rsidR="004C7F5E" w:rsidRPr="0031761B" w:rsidRDefault="004C7F5E" w:rsidP="000C5A78">
            <w:pPr>
              <w:pStyle w:val="TAH"/>
              <w:rPr>
                <w:rFonts w:ascii="Times New Roman" w:hAnsi="Times New Roman"/>
                <w:b w:val="0"/>
                <w:sz w:val="20"/>
              </w:rPr>
            </w:pPr>
          </w:p>
        </w:tc>
        <w:tc>
          <w:tcPr>
            <w:tcW w:w="0" w:type="auto"/>
            <w:vMerge/>
            <w:tcBorders>
              <w:top w:val="single" w:sz="4" w:space="0" w:color="auto"/>
              <w:left w:val="single" w:sz="4" w:space="0" w:color="auto"/>
              <w:right w:val="single" w:sz="4" w:space="0" w:color="auto"/>
            </w:tcBorders>
            <w:vAlign w:val="center"/>
          </w:tcPr>
          <w:p w14:paraId="5CD92560" w14:textId="77777777" w:rsidR="004C7F5E" w:rsidRPr="0031761B" w:rsidRDefault="004C7F5E" w:rsidP="000C5A78">
            <w:pPr>
              <w:pStyle w:val="TAC"/>
              <w:rPr>
                <w:rFonts w:ascii="Times New Roman" w:hAnsi="Times New Roman"/>
                <w:sz w:val="20"/>
              </w:rPr>
            </w:pPr>
          </w:p>
        </w:tc>
        <w:tc>
          <w:tcPr>
            <w:tcW w:w="0" w:type="auto"/>
            <w:tcBorders>
              <w:top w:val="single" w:sz="4" w:space="0" w:color="auto"/>
              <w:left w:val="single" w:sz="4" w:space="0" w:color="auto"/>
              <w:right w:val="single" w:sz="4" w:space="0" w:color="auto"/>
            </w:tcBorders>
            <w:vAlign w:val="center"/>
          </w:tcPr>
          <w:p w14:paraId="117BB50F" w14:textId="77777777" w:rsidR="004C7F5E" w:rsidRPr="0031761B" w:rsidRDefault="004C7F5E" w:rsidP="000C5A78">
            <w:pPr>
              <w:pStyle w:val="TAC"/>
            </w:pPr>
            <w:r w:rsidRPr="0031761B">
              <w:t>-25-Z</w:t>
            </w:r>
          </w:p>
        </w:tc>
        <w:tc>
          <w:tcPr>
            <w:tcW w:w="0" w:type="auto"/>
            <w:tcBorders>
              <w:top w:val="single" w:sz="4" w:space="0" w:color="auto"/>
              <w:left w:val="single" w:sz="4" w:space="0" w:color="auto"/>
              <w:right w:val="single" w:sz="4" w:space="0" w:color="auto"/>
            </w:tcBorders>
            <w:shd w:val="clear" w:color="auto" w:fill="auto"/>
            <w:vAlign w:val="center"/>
          </w:tcPr>
          <w:p w14:paraId="51DDCA7A" w14:textId="77777777" w:rsidR="004C7F5E" w:rsidRPr="0031761B" w:rsidRDefault="004C7F5E" w:rsidP="000C5A78">
            <w:pPr>
              <w:pStyle w:val="TAL"/>
            </w:pPr>
            <w:r w:rsidRPr="0031761B">
              <w:t>0 dBm ≤ Output power ≤10 dBm</w:t>
            </w:r>
          </w:p>
        </w:tc>
      </w:tr>
      <w:tr w:rsidR="004C7F5E" w:rsidRPr="0031761B" w14:paraId="5A3118E1" w14:textId="77777777" w:rsidTr="000C5A78">
        <w:trPr>
          <w:cantSplit/>
          <w:jc w:val="center"/>
        </w:trPr>
        <w:tc>
          <w:tcPr>
            <w:tcW w:w="0" w:type="auto"/>
            <w:vMerge/>
            <w:tcBorders>
              <w:right w:val="single" w:sz="4" w:space="0" w:color="auto"/>
            </w:tcBorders>
            <w:shd w:val="clear" w:color="auto" w:fill="auto"/>
            <w:vAlign w:val="center"/>
          </w:tcPr>
          <w:p w14:paraId="525A4C0B" w14:textId="77777777" w:rsidR="004C7F5E" w:rsidRPr="0031761B" w:rsidRDefault="004C7F5E" w:rsidP="000C5A78">
            <w:pPr>
              <w:spacing w:after="0"/>
            </w:pPr>
          </w:p>
        </w:tc>
        <w:tc>
          <w:tcPr>
            <w:tcW w:w="0" w:type="auto"/>
            <w:vMerge/>
            <w:tcBorders>
              <w:left w:val="single" w:sz="4" w:space="0" w:color="auto"/>
              <w:right w:val="single" w:sz="4" w:space="0" w:color="auto"/>
            </w:tcBorders>
            <w:vAlign w:val="center"/>
          </w:tcPr>
          <w:p w14:paraId="6D243442" w14:textId="77777777" w:rsidR="004C7F5E" w:rsidRPr="0031761B" w:rsidRDefault="004C7F5E" w:rsidP="000C5A78">
            <w:pPr>
              <w:pStyle w:val="TAC"/>
              <w:rPr>
                <w:rFonts w:ascii="Times New Roman" w:hAnsi="Times New Roman"/>
                <w:sz w:val="20"/>
              </w:rPr>
            </w:pPr>
          </w:p>
        </w:tc>
        <w:tc>
          <w:tcPr>
            <w:tcW w:w="0" w:type="auto"/>
            <w:tcBorders>
              <w:top w:val="single" w:sz="4" w:space="0" w:color="auto"/>
              <w:left w:val="single" w:sz="4" w:space="0" w:color="auto"/>
              <w:right w:val="single" w:sz="4" w:space="0" w:color="auto"/>
            </w:tcBorders>
            <w:vAlign w:val="center"/>
          </w:tcPr>
          <w:p w14:paraId="20F5C842" w14:textId="77777777" w:rsidR="004C7F5E" w:rsidRPr="0031761B" w:rsidRDefault="004C7F5E" w:rsidP="000C5A78">
            <w:pPr>
              <w:pStyle w:val="TAC"/>
            </w:pPr>
            <w:r w:rsidRPr="0031761B">
              <w:t>-20-Z</w:t>
            </w:r>
          </w:p>
        </w:tc>
        <w:tc>
          <w:tcPr>
            <w:tcW w:w="0" w:type="auto"/>
            <w:tcBorders>
              <w:left w:val="single" w:sz="4" w:space="0" w:color="auto"/>
              <w:right w:val="single" w:sz="4" w:space="0" w:color="auto"/>
            </w:tcBorders>
            <w:shd w:val="clear" w:color="auto" w:fill="auto"/>
            <w:vAlign w:val="center"/>
          </w:tcPr>
          <w:p w14:paraId="10103E42" w14:textId="77777777" w:rsidR="004C7F5E" w:rsidRPr="0031761B" w:rsidRDefault="004C7F5E" w:rsidP="000C5A78">
            <w:pPr>
              <w:pStyle w:val="TAL"/>
            </w:pPr>
            <w:r w:rsidRPr="0031761B">
              <w:t>-30 dBm ≤ Output power ≤ 0 dBm</w:t>
            </w:r>
          </w:p>
        </w:tc>
      </w:tr>
      <w:tr w:rsidR="004C7F5E" w:rsidRPr="0031761B" w14:paraId="26EF781B" w14:textId="77777777" w:rsidTr="000C5A78">
        <w:trPr>
          <w:cantSplit/>
          <w:jc w:val="center"/>
        </w:trPr>
        <w:tc>
          <w:tcPr>
            <w:tcW w:w="0" w:type="auto"/>
            <w:vMerge/>
            <w:tcBorders>
              <w:right w:val="single" w:sz="4" w:space="0" w:color="auto"/>
            </w:tcBorders>
            <w:shd w:val="clear" w:color="auto" w:fill="auto"/>
            <w:vAlign w:val="center"/>
          </w:tcPr>
          <w:p w14:paraId="289464B4" w14:textId="77777777" w:rsidR="004C7F5E" w:rsidRPr="0031761B" w:rsidRDefault="004C7F5E" w:rsidP="000C5A78">
            <w:pPr>
              <w:spacing w:after="0"/>
            </w:pPr>
          </w:p>
        </w:tc>
        <w:tc>
          <w:tcPr>
            <w:tcW w:w="0" w:type="auto"/>
            <w:vMerge/>
            <w:tcBorders>
              <w:left w:val="single" w:sz="4" w:space="0" w:color="auto"/>
              <w:right w:val="single" w:sz="4" w:space="0" w:color="auto"/>
            </w:tcBorders>
            <w:vAlign w:val="center"/>
          </w:tcPr>
          <w:p w14:paraId="5FE8159F" w14:textId="77777777" w:rsidR="004C7F5E" w:rsidRPr="0031761B" w:rsidRDefault="004C7F5E" w:rsidP="000C5A78">
            <w:pPr>
              <w:pStyle w:val="TAC"/>
              <w:rPr>
                <w:rFonts w:ascii="Times New Roman" w:hAnsi="Times New Roman"/>
                <w:sz w:val="20"/>
              </w:rPr>
            </w:pPr>
          </w:p>
        </w:tc>
        <w:tc>
          <w:tcPr>
            <w:tcW w:w="0" w:type="auto"/>
            <w:tcBorders>
              <w:top w:val="single" w:sz="4" w:space="0" w:color="auto"/>
              <w:left w:val="single" w:sz="4" w:space="0" w:color="auto"/>
              <w:right w:val="single" w:sz="4" w:space="0" w:color="auto"/>
            </w:tcBorders>
            <w:vAlign w:val="center"/>
          </w:tcPr>
          <w:p w14:paraId="6592527F" w14:textId="77777777" w:rsidR="004C7F5E" w:rsidRPr="0031761B" w:rsidRDefault="004C7F5E" w:rsidP="000C5A78">
            <w:pPr>
              <w:pStyle w:val="TAC"/>
            </w:pPr>
            <w:r w:rsidRPr="0031761B">
              <w:t>-10-Z</w:t>
            </w:r>
          </w:p>
        </w:tc>
        <w:tc>
          <w:tcPr>
            <w:tcW w:w="0" w:type="auto"/>
            <w:tcBorders>
              <w:left w:val="single" w:sz="4" w:space="0" w:color="auto"/>
              <w:right w:val="single" w:sz="4" w:space="0" w:color="auto"/>
            </w:tcBorders>
            <w:shd w:val="clear" w:color="auto" w:fill="auto"/>
            <w:vAlign w:val="center"/>
          </w:tcPr>
          <w:p w14:paraId="3973B4E5" w14:textId="77777777" w:rsidR="004C7F5E" w:rsidRPr="0031761B" w:rsidRDefault="004C7F5E" w:rsidP="000C5A78">
            <w:pPr>
              <w:pStyle w:val="TAL"/>
            </w:pPr>
            <w:r w:rsidRPr="0031761B">
              <w:t xml:space="preserve">-40 dBm </w:t>
            </w:r>
            <w:r w:rsidRPr="0031761B">
              <w:sym w:font="Symbol" w:char="F0A3"/>
            </w:r>
            <w:r w:rsidRPr="0031761B">
              <w:t xml:space="preserve"> Output power &lt; -30 dBm</w:t>
            </w:r>
          </w:p>
        </w:tc>
      </w:tr>
    </w:tbl>
    <w:p w14:paraId="117FE46D" w14:textId="290F1B27" w:rsidR="004C7F5E" w:rsidRPr="00D15575" w:rsidRDefault="004C7F5E" w:rsidP="004C7F5E">
      <w:pPr>
        <w:overflowPunct/>
        <w:autoSpaceDE/>
        <w:adjustRightInd/>
        <w:spacing w:after="0"/>
        <w:jc w:val="center"/>
        <w:rPr>
          <w:rFonts w:ascii="Times New Roman" w:eastAsia="맑은 고딕" w:hAnsi="Times New Roman"/>
          <w:b/>
          <w:lang w:eastAsia="ko-KR"/>
        </w:rPr>
      </w:pPr>
    </w:p>
    <w:p w14:paraId="015FCFFC" w14:textId="7CD7E783" w:rsidR="004C7F5E" w:rsidRDefault="008A6630" w:rsidP="000D64B5">
      <w:pPr>
        <w:overflowPunct/>
        <w:autoSpaceDE/>
        <w:adjustRightInd/>
        <w:spacing w:after="0"/>
        <w:jc w:val="center"/>
        <w:rPr>
          <w:rFonts w:eastAsia="맑은 고딕"/>
          <w:lang w:eastAsia="ko-KR"/>
        </w:rPr>
      </w:pPr>
      <w:r>
        <w:rPr>
          <w:rFonts w:ascii="Times New Roman" w:eastAsia="맑은 고딕" w:hAnsi="Times New Roman" w:hint="eastAsia"/>
          <w:b/>
          <w:lang w:eastAsia="ko-KR"/>
        </w:rPr>
        <w:t>Table 3</w:t>
      </w:r>
      <w:r w:rsidR="004D04C2">
        <w:rPr>
          <w:rFonts w:ascii="Times New Roman" w:eastAsia="맑은 고딕" w:hAnsi="Times New Roman" w:hint="eastAsia"/>
          <w:b/>
          <w:lang w:eastAsia="ko-KR"/>
        </w:rPr>
        <w:t>.</w:t>
      </w:r>
      <w:r>
        <w:rPr>
          <w:rFonts w:ascii="Times New Roman" w:eastAsia="맑은 고딕" w:hAnsi="Times New Roman"/>
          <w:b/>
          <w:lang w:eastAsia="ko-KR"/>
        </w:rPr>
        <w:t xml:space="preserve"> </w:t>
      </w:r>
      <w:r w:rsidR="004D04C2">
        <w:rPr>
          <w:rFonts w:ascii="Times New Roman" w:eastAsia="맑은 고딕" w:hAnsi="Times New Roman" w:hint="eastAsia"/>
          <w:b/>
          <w:lang w:eastAsia="ko-KR"/>
        </w:rPr>
        <w:t xml:space="preserve">IBE requirement </w:t>
      </w:r>
      <w:r>
        <w:rPr>
          <w:rFonts w:ascii="Times New Roman" w:eastAsia="맑은 고딕" w:hAnsi="Times New Roman"/>
          <w:b/>
          <w:lang w:eastAsia="ko-KR"/>
        </w:rPr>
        <w:t>for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1568"/>
        <w:gridCol w:w="1534"/>
        <w:gridCol w:w="5038"/>
      </w:tblGrid>
      <w:tr w:rsidR="004C7F5E" w:rsidRPr="00611CC4" w14:paraId="71D08C56" w14:textId="77777777" w:rsidTr="004C7F5E">
        <w:trPr>
          <w:jc w:val="center"/>
        </w:trPr>
        <w:tc>
          <w:tcPr>
            <w:tcW w:w="1460" w:type="dxa"/>
            <w:tcBorders>
              <w:bottom w:val="single" w:sz="4" w:space="0" w:color="auto"/>
              <w:right w:val="single" w:sz="4" w:space="0" w:color="auto"/>
            </w:tcBorders>
            <w:shd w:val="clear" w:color="auto" w:fill="auto"/>
            <w:vAlign w:val="center"/>
          </w:tcPr>
          <w:p w14:paraId="28245446" w14:textId="77777777" w:rsidR="004C7F5E" w:rsidRPr="00611CC4" w:rsidRDefault="004C7F5E" w:rsidP="000C5A78">
            <w:pPr>
              <w:pStyle w:val="TAH"/>
              <w:rPr>
                <w:rFonts w:cs="Arial"/>
                <w:i/>
                <w:iCs/>
              </w:rPr>
            </w:pPr>
            <w:r w:rsidRPr="00611CC4">
              <w:rPr>
                <w:rFonts w:cs="Arial"/>
              </w:rPr>
              <w:t>Parameter description</w:t>
            </w:r>
          </w:p>
        </w:tc>
        <w:tc>
          <w:tcPr>
            <w:tcW w:w="1568" w:type="dxa"/>
            <w:tcBorders>
              <w:left w:val="single" w:sz="4" w:space="0" w:color="auto"/>
              <w:bottom w:val="single" w:sz="4" w:space="0" w:color="auto"/>
              <w:right w:val="single" w:sz="4" w:space="0" w:color="auto"/>
            </w:tcBorders>
            <w:shd w:val="clear" w:color="auto" w:fill="auto"/>
            <w:vAlign w:val="center"/>
          </w:tcPr>
          <w:p w14:paraId="14C1CB50" w14:textId="77777777" w:rsidR="004C7F5E" w:rsidRPr="00611CC4" w:rsidRDefault="004C7F5E" w:rsidP="000C5A78">
            <w:pPr>
              <w:pStyle w:val="TAH"/>
              <w:rPr>
                <w:rFonts w:cs="Arial"/>
              </w:rPr>
            </w:pPr>
            <w:r w:rsidRPr="00611CC4">
              <w:rPr>
                <w:rFonts w:cs="Arial"/>
              </w:rPr>
              <w:t>Unit</w:t>
            </w:r>
          </w:p>
        </w:tc>
        <w:tc>
          <w:tcPr>
            <w:tcW w:w="6572" w:type="dxa"/>
            <w:gridSpan w:val="2"/>
            <w:tcBorders>
              <w:left w:val="single" w:sz="4" w:space="0" w:color="auto"/>
              <w:bottom w:val="single" w:sz="4" w:space="0" w:color="auto"/>
              <w:right w:val="single" w:sz="4" w:space="0" w:color="auto"/>
            </w:tcBorders>
            <w:shd w:val="clear" w:color="auto" w:fill="auto"/>
            <w:vAlign w:val="center"/>
          </w:tcPr>
          <w:p w14:paraId="69A17348" w14:textId="39A860A3" w:rsidR="004C7F5E" w:rsidRPr="00611CC4" w:rsidRDefault="004C7F5E" w:rsidP="004C7F5E">
            <w:pPr>
              <w:pStyle w:val="TAH"/>
              <w:rPr>
                <w:rFonts w:cs="Arial"/>
              </w:rPr>
            </w:pPr>
            <w:r w:rsidRPr="00611CC4">
              <w:rPr>
                <w:rFonts w:cs="Arial"/>
              </w:rPr>
              <w:t xml:space="preserve">Limit </w:t>
            </w:r>
          </w:p>
        </w:tc>
      </w:tr>
      <w:tr w:rsidR="004C7F5E" w:rsidRPr="00611CC4" w14:paraId="21C50AFA" w14:textId="77777777" w:rsidTr="004C7F5E">
        <w:trPr>
          <w:trHeight w:val="710"/>
          <w:jc w:val="center"/>
        </w:trPr>
        <w:tc>
          <w:tcPr>
            <w:tcW w:w="1460" w:type="dxa"/>
            <w:tcBorders>
              <w:top w:val="single" w:sz="4" w:space="0" w:color="auto"/>
              <w:bottom w:val="single" w:sz="4" w:space="0" w:color="auto"/>
              <w:right w:val="single" w:sz="4" w:space="0" w:color="auto"/>
            </w:tcBorders>
            <w:shd w:val="clear" w:color="auto" w:fill="auto"/>
            <w:vAlign w:val="center"/>
          </w:tcPr>
          <w:p w14:paraId="68A4B0C2" w14:textId="77777777" w:rsidR="004C7F5E" w:rsidRPr="00611CC4" w:rsidRDefault="004C7F5E" w:rsidP="000C5A78">
            <w:pPr>
              <w:pStyle w:val="TAH"/>
              <w:rPr>
                <w:rFonts w:cs="Arial"/>
              </w:rPr>
            </w:pPr>
            <w:r w:rsidRPr="00611CC4">
              <w:rPr>
                <w:rFonts w:cs="Arial"/>
              </w:rPr>
              <w:t>General</w:t>
            </w:r>
          </w:p>
        </w:tc>
        <w:tc>
          <w:tcPr>
            <w:tcW w:w="1568" w:type="dxa"/>
            <w:tcBorders>
              <w:top w:val="single" w:sz="4" w:space="0" w:color="auto"/>
              <w:left w:val="single" w:sz="4" w:space="0" w:color="auto"/>
              <w:bottom w:val="single" w:sz="4" w:space="0" w:color="auto"/>
              <w:right w:val="single" w:sz="4" w:space="0" w:color="auto"/>
            </w:tcBorders>
            <w:vAlign w:val="center"/>
          </w:tcPr>
          <w:p w14:paraId="111DE383" w14:textId="77777777" w:rsidR="004C7F5E" w:rsidRPr="00611CC4" w:rsidRDefault="004C7F5E" w:rsidP="000C5A78">
            <w:pPr>
              <w:pStyle w:val="TAC"/>
              <w:rPr>
                <w:rFonts w:cs="Arial"/>
              </w:rPr>
            </w:pPr>
            <w:r w:rsidRPr="00611CC4">
              <w:rPr>
                <w:rFonts w:cs="Arial"/>
              </w:rPr>
              <w:t>dB</w:t>
            </w:r>
          </w:p>
        </w:tc>
        <w:tc>
          <w:tcPr>
            <w:tcW w:w="6572" w:type="dxa"/>
            <w:gridSpan w:val="2"/>
            <w:tcBorders>
              <w:top w:val="single" w:sz="4" w:space="0" w:color="auto"/>
              <w:left w:val="single" w:sz="4" w:space="0" w:color="auto"/>
              <w:bottom w:val="single" w:sz="4" w:space="0" w:color="auto"/>
              <w:right w:val="single" w:sz="4" w:space="0" w:color="auto"/>
            </w:tcBorders>
            <w:vAlign w:val="center"/>
          </w:tcPr>
          <w:p w14:paraId="42ADD4AF" w14:textId="77777777" w:rsidR="004C7F5E" w:rsidRPr="00611CC4" w:rsidRDefault="004C7F5E" w:rsidP="000C5A78">
            <w:pPr>
              <w:pStyle w:val="TAC"/>
              <w:rPr>
                <w:rFonts w:cs="Arial"/>
                <w:lang w:eastAsia="ko-KR"/>
              </w:rPr>
            </w:pPr>
            <w:r w:rsidRPr="00611CC4">
              <w:rPr>
                <w:rFonts w:cs="Arial"/>
                <w:position w:val="-50"/>
              </w:rPr>
              <w:object w:dxaOrig="4099" w:dyaOrig="1120" w14:anchorId="1BAF1E26">
                <v:shape id="_x0000_i1028" type="#_x0000_t75" style="width:184.6pt;height:45.2pt" o:ole="">
                  <v:imagedata r:id="rId16" o:title=""/>
                </v:shape>
                <o:OLEObject Type="Embed" ProgID="Equation.3" ShapeID="_x0000_i1028" DrawAspect="Content" ObjectID="_1595500397" r:id="rId17"/>
              </w:object>
            </w:r>
          </w:p>
        </w:tc>
      </w:tr>
      <w:tr w:rsidR="004C7F5E" w:rsidRPr="00611CC4" w14:paraId="3FC117AB" w14:textId="77777777" w:rsidTr="004C7F5E">
        <w:trPr>
          <w:trHeight w:val="20"/>
          <w:jc w:val="center"/>
        </w:trPr>
        <w:tc>
          <w:tcPr>
            <w:tcW w:w="1460" w:type="dxa"/>
            <w:vMerge w:val="restart"/>
            <w:tcBorders>
              <w:top w:val="single" w:sz="4" w:space="0" w:color="auto"/>
              <w:right w:val="single" w:sz="4" w:space="0" w:color="auto"/>
            </w:tcBorders>
            <w:shd w:val="clear" w:color="auto" w:fill="auto"/>
            <w:vAlign w:val="center"/>
          </w:tcPr>
          <w:p w14:paraId="1F42E4A6" w14:textId="77777777" w:rsidR="004C7F5E" w:rsidRPr="00611CC4" w:rsidRDefault="004C7F5E" w:rsidP="000C5A78">
            <w:pPr>
              <w:pStyle w:val="TAH"/>
              <w:rPr>
                <w:rFonts w:cs="Arial"/>
              </w:rPr>
            </w:pPr>
            <w:r w:rsidRPr="00611CC4">
              <w:rPr>
                <w:rFonts w:cs="Arial"/>
              </w:rPr>
              <w:t>IQ Image</w:t>
            </w:r>
          </w:p>
        </w:tc>
        <w:tc>
          <w:tcPr>
            <w:tcW w:w="1568" w:type="dxa"/>
            <w:vMerge w:val="restart"/>
            <w:tcBorders>
              <w:top w:val="single" w:sz="4" w:space="0" w:color="auto"/>
              <w:left w:val="single" w:sz="4" w:space="0" w:color="auto"/>
              <w:right w:val="single" w:sz="4" w:space="0" w:color="auto"/>
            </w:tcBorders>
            <w:vAlign w:val="center"/>
          </w:tcPr>
          <w:p w14:paraId="644A8740" w14:textId="77777777" w:rsidR="004C7F5E" w:rsidRPr="00611CC4" w:rsidRDefault="004C7F5E" w:rsidP="000C5A78">
            <w:pPr>
              <w:pStyle w:val="TAC"/>
              <w:rPr>
                <w:rFonts w:cs="Arial"/>
              </w:rPr>
            </w:pPr>
            <w:r w:rsidRPr="00611CC4">
              <w:rPr>
                <w:rFonts w:cs="Arial"/>
              </w:rPr>
              <w:t>dB</w:t>
            </w:r>
          </w:p>
        </w:tc>
        <w:tc>
          <w:tcPr>
            <w:tcW w:w="1534" w:type="dxa"/>
            <w:tcBorders>
              <w:top w:val="single" w:sz="4" w:space="0" w:color="auto"/>
              <w:left w:val="single" w:sz="4" w:space="0" w:color="auto"/>
              <w:right w:val="single" w:sz="4" w:space="0" w:color="auto"/>
            </w:tcBorders>
            <w:vAlign w:val="center"/>
          </w:tcPr>
          <w:p w14:paraId="1A337F04" w14:textId="77777777" w:rsidR="004C7F5E" w:rsidRPr="00611CC4" w:rsidRDefault="004C7F5E" w:rsidP="000C5A78">
            <w:pPr>
              <w:pStyle w:val="TAC"/>
              <w:rPr>
                <w:rFonts w:cs="Arial"/>
              </w:rPr>
            </w:pPr>
            <w:r w:rsidRPr="00611CC4">
              <w:rPr>
                <w:rFonts w:cs="Arial"/>
              </w:rPr>
              <w:t>-28</w:t>
            </w:r>
          </w:p>
        </w:tc>
        <w:tc>
          <w:tcPr>
            <w:tcW w:w="5038" w:type="dxa"/>
            <w:tcBorders>
              <w:top w:val="single" w:sz="4" w:space="0" w:color="auto"/>
              <w:left w:val="single" w:sz="4" w:space="0" w:color="auto"/>
              <w:right w:val="single" w:sz="4" w:space="0" w:color="auto"/>
            </w:tcBorders>
            <w:vAlign w:val="center"/>
          </w:tcPr>
          <w:p w14:paraId="449C6AFC" w14:textId="77777777" w:rsidR="004C7F5E" w:rsidRPr="00611CC4" w:rsidRDefault="004C7F5E" w:rsidP="000C5A78">
            <w:pPr>
              <w:pStyle w:val="TAL"/>
              <w:rPr>
                <w:rFonts w:cs="Arial"/>
              </w:rPr>
            </w:pPr>
            <w:r w:rsidRPr="00611CC4">
              <w:rPr>
                <w:rFonts w:cs="Arial"/>
              </w:rPr>
              <w:t>Image frequencies when output power &gt; 10 dBm</w:t>
            </w:r>
          </w:p>
        </w:tc>
      </w:tr>
      <w:tr w:rsidR="004C7F5E" w:rsidRPr="00611CC4" w14:paraId="69E77FF1" w14:textId="77777777" w:rsidTr="004C7F5E">
        <w:trPr>
          <w:trHeight w:val="20"/>
          <w:jc w:val="center"/>
        </w:trPr>
        <w:tc>
          <w:tcPr>
            <w:tcW w:w="1460" w:type="dxa"/>
            <w:vMerge/>
            <w:tcBorders>
              <w:right w:val="single" w:sz="4" w:space="0" w:color="auto"/>
            </w:tcBorders>
            <w:shd w:val="clear" w:color="auto" w:fill="auto"/>
            <w:vAlign w:val="center"/>
          </w:tcPr>
          <w:p w14:paraId="6DB5D7F4" w14:textId="77777777" w:rsidR="004C7F5E" w:rsidRPr="00611CC4" w:rsidRDefault="004C7F5E" w:rsidP="000C5A78">
            <w:pPr>
              <w:pStyle w:val="TAH"/>
              <w:rPr>
                <w:rFonts w:cs="Arial"/>
              </w:rPr>
            </w:pPr>
          </w:p>
        </w:tc>
        <w:tc>
          <w:tcPr>
            <w:tcW w:w="1568" w:type="dxa"/>
            <w:vMerge/>
            <w:tcBorders>
              <w:left w:val="single" w:sz="4" w:space="0" w:color="auto"/>
              <w:right w:val="single" w:sz="4" w:space="0" w:color="auto"/>
            </w:tcBorders>
            <w:vAlign w:val="center"/>
          </w:tcPr>
          <w:p w14:paraId="742AADDD" w14:textId="77777777" w:rsidR="004C7F5E" w:rsidRPr="00611CC4" w:rsidRDefault="004C7F5E" w:rsidP="000C5A78">
            <w:pPr>
              <w:pStyle w:val="TAC"/>
              <w:rPr>
                <w:rFonts w:cs="Arial"/>
              </w:rPr>
            </w:pPr>
          </w:p>
        </w:tc>
        <w:tc>
          <w:tcPr>
            <w:tcW w:w="1534" w:type="dxa"/>
            <w:tcBorders>
              <w:top w:val="single" w:sz="4" w:space="0" w:color="auto"/>
              <w:left w:val="single" w:sz="4" w:space="0" w:color="auto"/>
              <w:right w:val="single" w:sz="4" w:space="0" w:color="auto"/>
            </w:tcBorders>
            <w:vAlign w:val="center"/>
          </w:tcPr>
          <w:p w14:paraId="245CEBCD" w14:textId="77777777" w:rsidR="004C7F5E" w:rsidRPr="00611CC4" w:rsidRDefault="004C7F5E" w:rsidP="000C5A78">
            <w:pPr>
              <w:pStyle w:val="TAC"/>
              <w:rPr>
                <w:rFonts w:cs="Arial"/>
              </w:rPr>
            </w:pPr>
            <w:r w:rsidRPr="00611CC4">
              <w:rPr>
                <w:rFonts w:cs="Arial"/>
              </w:rPr>
              <w:t>-25</w:t>
            </w:r>
          </w:p>
        </w:tc>
        <w:tc>
          <w:tcPr>
            <w:tcW w:w="5038" w:type="dxa"/>
            <w:tcBorders>
              <w:top w:val="single" w:sz="4" w:space="0" w:color="auto"/>
              <w:left w:val="single" w:sz="4" w:space="0" w:color="auto"/>
              <w:right w:val="single" w:sz="4" w:space="0" w:color="auto"/>
            </w:tcBorders>
            <w:vAlign w:val="center"/>
          </w:tcPr>
          <w:p w14:paraId="1BCEDC56" w14:textId="77777777" w:rsidR="004C7F5E" w:rsidRPr="00611CC4" w:rsidRDefault="004C7F5E" w:rsidP="000C5A78">
            <w:pPr>
              <w:pStyle w:val="TAL"/>
              <w:rPr>
                <w:rFonts w:cs="Arial"/>
              </w:rPr>
            </w:pPr>
            <w:r w:rsidRPr="00611CC4">
              <w:rPr>
                <w:rFonts w:cs="Arial"/>
              </w:rPr>
              <w:t>Image frequencies when output power ≤ 10 dBm</w:t>
            </w:r>
          </w:p>
        </w:tc>
      </w:tr>
      <w:tr w:rsidR="004C7F5E" w:rsidRPr="00611CC4" w14:paraId="06F76DD0" w14:textId="77777777" w:rsidTr="004C7F5E">
        <w:trPr>
          <w:trHeight w:val="208"/>
          <w:jc w:val="center"/>
        </w:trPr>
        <w:tc>
          <w:tcPr>
            <w:tcW w:w="1460" w:type="dxa"/>
            <w:vMerge w:val="restart"/>
            <w:tcBorders>
              <w:top w:val="single" w:sz="4" w:space="0" w:color="auto"/>
              <w:right w:val="single" w:sz="4" w:space="0" w:color="auto"/>
            </w:tcBorders>
            <w:shd w:val="clear" w:color="auto" w:fill="auto"/>
            <w:vAlign w:val="center"/>
          </w:tcPr>
          <w:p w14:paraId="7124434C" w14:textId="77777777" w:rsidR="004C7F5E" w:rsidRPr="00611CC4" w:rsidRDefault="004C7F5E" w:rsidP="000C5A78">
            <w:pPr>
              <w:pStyle w:val="TAH"/>
              <w:rPr>
                <w:rFonts w:cs="Arial"/>
              </w:rPr>
            </w:pPr>
            <w:r w:rsidRPr="00611CC4">
              <w:rPr>
                <w:rFonts w:cs="Arial"/>
              </w:rPr>
              <w:t>Carrier leakage</w:t>
            </w:r>
          </w:p>
        </w:tc>
        <w:tc>
          <w:tcPr>
            <w:tcW w:w="1568" w:type="dxa"/>
            <w:vMerge w:val="restart"/>
            <w:tcBorders>
              <w:top w:val="single" w:sz="4" w:space="0" w:color="auto"/>
              <w:left w:val="single" w:sz="4" w:space="0" w:color="auto"/>
              <w:right w:val="single" w:sz="4" w:space="0" w:color="auto"/>
            </w:tcBorders>
            <w:vAlign w:val="center"/>
          </w:tcPr>
          <w:p w14:paraId="1736B964" w14:textId="77777777" w:rsidR="004C7F5E" w:rsidRPr="00611CC4" w:rsidRDefault="004C7F5E" w:rsidP="000C5A78">
            <w:pPr>
              <w:pStyle w:val="TAC"/>
              <w:rPr>
                <w:rFonts w:cs="Arial"/>
              </w:rPr>
            </w:pPr>
            <w:r w:rsidRPr="00611CC4">
              <w:rPr>
                <w:rFonts w:cs="Arial"/>
              </w:rPr>
              <w:t>dBc</w:t>
            </w:r>
          </w:p>
        </w:tc>
        <w:tc>
          <w:tcPr>
            <w:tcW w:w="1534" w:type="dxa"/>
            <w:tcBorders>
              <w:top w:val="single" w:sz="4" w:space="0" w:color="auto"/>
              <w:left w:val="single" w:sz="4" w:space="0" w:color="auto"/>
              <w:right w:val="single" w:sz="4" w:space="0" w:color="auto"/>
            </w:tcBorders>
            <w:vAlign w:val="center"/>
          </w:tcPr>
          <w:p w14:paraId="2972F1B1" w14:textId="77777777" w:rsidR="004C7F5E" w:rsidRPr="00611CC4" w:rsidRDefault="004C7F5E" w:rsidP="000C5A78">
            <w:pPr>
              <w:pStyle w:val="TAC"/>
              <w:rPr>
                <w:rFonts w:cs="Arial"/>
              </w:rPr>
            </w:pPr>
            <w:r w:rsidRPr="00611CC4">
              <w:rPr>
                <w:rFonts w:cs="Arial"/>
              </w:rPr>
              <w:t>-28</w:t>
            </w:r>
          </w:p>
        </w:tc>
        <w:tc>
          <w:tcPr>
            <w:tcW w:w="5038" w:type="dxa"/>
            <w:tcBorders>
              <w:top w:val="single" w:sz="4" w:space="0" w:color="auto"/>
              <w:left w:val="single" w:sz="4" w:space="0" w:color="auto"/>
              <w:right w:val="single" w:sz="4" w:space="0" w:color="auto"/>
            </w:tcBorders>
            <w:shd w:val="clear" w:color="auto" w:fill="auto"/>
            <w:vAlign w:val="center"/>
          </w:tcPr>
          <w:p w14:paraId="39AEEE44" w14:textId="77777777" w:rsidR="004C7F5E" w:rsidRPr="00611CC4" w:rsidRDefault="004C7F5E" w:rsidP="000C5A78">
            <w:pPr>
              <w:pStyle w:val="TAL"/>
              <w:rPr>
                <w:rFonts w:cs="Arial"/>
              </w:rPr>
            </w:pPr>
            <w:r w:rsidRPr="00611CC4">
              <w:rPr>
                <w:rFonts w:cs="Arial"/>
              </w:rPr>
              <w:t xml:space="preserve">Output power &gt; 10 dBm </w:t>
            </w:r>
          </w:p>
        </w:tc>
      </w:tr>
      <w:tr w:rsidR="004C7F5E" w:rsidRPr="00611CC4" w14:paraId="088672D3" w14:textId="77777777" w:rsidTr="004C7F5E">
        <w:trPr>
          <w:trHeight w:val="208"/>
          <w:jc w:val="center"/>
        </w:trPr>
        <w:tc>
          <w:tcPr>
            <w:tcW w:w="1460" w:type="dxa"/>
            <w:vMerge/>
            <w:tcBorders>
              <w:top w:val="single" w:sz="4" w:space="0" w:color="auto"/>
              <w:right w:val="single" w:sz="4" w:space="0" w:color="auto"/>
            </w:tcBorders>
            <w:shd w:val="clear" w:color="auto" w:fill="auto"/>
            <w:vAlign w:val="center"/>
          </w:tcPr>
          <w:p w14:paraId="5D3C867F" w14:textId="77777777" w:rsidR="004C7F5E" w:rsidRPr="00611CC4" w:rsidRDefault="004C7F5E" w:rsidP="000C5A78">
            <w:pPr>
              <w:pStyle w:val="TAH"/>
              <w:rPr>
                <w:rFonts w:cs="Arial"/>
              </w:rPr>
            </w:pPr>
          </w:p>
        </w:tc>
        <w:tc>
          <w:tcPr>
            <w:tcW w:w="1568" w:type="dxa"/>
            <w:vMerge/>
            <w:tcBorders>
              <w:top w:val="single" w:sz="4" w:space="0" w:color="auto"/>
              <w:left w:val="single" w:sz="4" w:space="0" w:color="auto"/>
              <w:right w:val="single" w:sz="4" w:space="0" w:color="auto"/>
            </w:tcBorders>
            <w:vAlign w:val="center"/>
          </w:tcPr>
          <w:p w14:paraId="7600B057" w14:textId="77777777" w:rsidR="004C7F5E" w:rsidRPr="00611CC4" w:rsidRDefault="004C7F5E" w:rsidP="000C5A78">
            <w:pPr>
              <w:pStyle w:val="TAC"/>
              <w:rPr>
                <w:rFonts w:cs="Arial"/>
              </w:rPr>
            </w:pPr>
          </w:p>
        </w:tc>
        <w:tc>
          <w:tcPr>
            <w:tcW w:w="1534" w:type="dxa"/>
            <w:tcBorders>
              <w:top w:val="single" w:sz="4" w:space="0" w:color="auto"/>
              <w:left w:val="single" w:sz="4" w:space="0" w:color="auto"/>
              <w:right w:val="single" w:sz="4" w:space="0" w:color="auto"/>
            </w:tcBorders>
            <w:vAlign w:val="center"/>
          </w:tcPr>
          <w:p w14:paraId="137A03A0" w14:textId="77777777" w:rsidR="004C7F5E" w:rsidRPr="00611CC4" w:rsidRDefault="004C7F5E" w:rsidP="000C5A78">
            <w:pPr>
              <w:pStyle w:val="TAC"/>
              <w:rPr>
                <w:rFonts w:cs="Arial"/>
              </w:rPr>
            </w:pPr>
            <w:r w:rsidRPr="00611CC4">
              <w:rPr>
                <w:rFonts w:cs="Arial"/>
              </w:rPr>
              <w:t>-25</w:t>
            </w:r>
          </w:p>
        </w:tc>
        <w:tc>
          <w:tcPr>
            <w:tcW w:w="5038" w:type="dxa"/>
            <w:tcBorders>
              <w:top w:val="single" w:sz="4" w:space="0" w:color="auto"/>
              <w:left w:val="single" w:sz="4" w:space="0" w:color="auto"/>
              <w:right w:val="single" w:sz="4" w:space="0" w:color="auto"/>
            </w:tcBorders>
            <w:shd w:val="clear" w:color="auto" w:fill="auto"/>
            <w:vAlign w:val="center"/>
          </w:tcPr>
          <w:p w14:paraId="4AE9DB14" w14:textId="77777777" w:rsidR="004C7F5E" w:rsidRPr="00611CC4" w:rsidRDefault="004C7F5E" w:rsidP="000C5A78">
            <w:pPr>
              <w:pStyle w:val="TAL"/>
              <w:rPr>
                <w:rFonts w:cs="Arial"/>
              </w:rPr>
            </w:pPr>
            <w:r w:rsidRPr="00611CC4">
              <w:rPr>
                <w:rFonts w:cs="Arial"/>
              </w:rPr>
              <w:t>0 dBm ≤ Output power ≤10 dBm</w:t>
            </w:r>
          </w:p>
        </w:tc>
      </w:tr>
      <w:tr w:rsidR="004C7F5E" w:rsidRPr="00611CC4" w14:paraId="04B789C7" w14:textId="77777777" w:rsidTr="004C7F5E">
        <w:trPr>
          <w:trHeight w:val="206"/>
          <w:jc w:val="center"/>
        </w:trPr>
        <w:tc>
          <w:tcPr>
            <w:tcW w:w="1460" w:type="dxa"/>
            <w:vMerge/>
            <w:tcBorders>
              <w:right w:val="single" w:sz="4" w:space="0" w:color="auto"/>
            </w:tcBorders>
            <w:shd w:val="clear" w:color="auto" w:fill="auto"/>
            <w:vAlign w:val="center"/>
          </w:tcPr>
          <w:p w14:paraId="28EFB2FD" w14:textId="77777777" w:rsidR="004C7F5E" w:rsidRPr="00611CC4" w:rsidRDefault="004C7F5E" w:rsidP="000C5A78">
            <w:pPr>
              <w:spacing w:after="0"/>
              <w:rPr>
                <w:b/>
              </w:rPr>
            </w:pPr>
          </w:p>
        </w:tc>
        <w:tc>
          <w:tcPr>
            <w:tcW w:w="1568" w:type="dxa"/>
            <w:vMerge/>
            <w:tcBorders>
              <w:left w:val="single" w:sz="4" w:space="0" w:color="auto"/>
              <w:right w:val="single" w:sz="4" w:space="0" w:color="auto"/>
            </w:tcBorders>
            <w:vAlign w:val="center"/>
          </w:tcPr>
          <w:p w14:paraId="0EB25F71" w14:textId="77777777" w:rsidR="004C7F5E" w:rsidRPr="00611CC4" w:rsidRDefault="004C7F5E" w:rsidP="000C5A78">
            <w:pPr>
              <w:pStyle w:val="TAC"/>
              <w:rPr>
                <w:rFonts w:cs="Arial"/>
              </w:rPr>
            </w:pPr>
          </w:p>
        </w:tc>
        <w:tc>
          <w:tcPr>
            <w:tcW w:w="1534" w:type="dxa"/>
            <w:tcBorders>
              <w:top w:val="single" w:sz="4" w:space="0" w:color="auto"/>
              <w:left w:val="single" w:sz="4" w:space="0" w:color="auto"/>
              <w:right w:val="single" w:sz="4" w:space="0" w:color="auto"/>
            </w:tcBorders>
            <w:vAlign w:val="center"/>
          </w:tcPr>
          <w:p w14:paraId="6C04291F" w14:textId="77777777" w:rsidR="004C7F5E" w:rsidRPr="00611CC4" w:rsidRDefault="004C7F5E" w:rsidP="000C5A78">
            <w:pPr>
              <w:pStyle w:val="TAC"/>
              <w:rPr>
                <w:rFonts w:cs="Arial"/>
              </w:rPr>
            </w:pPr>
            <w:r w:rsidRPr="00611CC4">
              <w:rPr>
                <w:rFonts w:cs="Arial"/>
              </w:rPr>
              <w:t>-20</w:t>
            </w:r>
          </w:p>
        </w:tc>
        <w:tc>
          <w:tcPr>
            <w:tcW w:w="5038" w:type="dxa"/>
            <w:tcBorders>
              <w:left w:val="single" w:sz="4" w:space="0" w:color="auto"/>
              <w:right w:val="single" w:sz="4" w:space="0" w:color="auto"/>
            </w:tcBorders>
            <w:shd w:val="clear" w:color="auto" w:fill="auto"/>
            <w:vAlign w:val="center"/>
          </w:tcPr>
          <w:p w14:paraId="76AA7781" w14:textId="77777777" w:rsidR="004C7F5E" w:rsidRPr="00611CC4" w:rsidRDefault="004C7F5E" w:rsidP="000C5A78">
            <w:pPr>
              <w:pStyle w:val="TAL"/>
              <w:rPr>
                <w:rFonts w:cs="Arial"/>
              </w:rPr>
            </w:pPr>
            <w:r w:rsidRPr="00611CC4">
              <w:rPr>
                <w:rFonts w:cs="Arial"/>
              </w:rPr>
              <w:t>-30 dBm ≤ Output power ≤ 0 dBm</w:t>
            </w:r>
          </w:p>
        </w:tc>
      </w:tr>
      <w:tr w:rsidR="004C7F5E" w:rsidRPr="00611CC4" w14:paraId="0AB9B3F9" w14:textId="77777777" w:rsidTr="004C7F5E">
        <w:trPr>
          <w:trHeight w:val="206"/>
          <w:jc w:val="center"/>
        </w:trPr>
        <w:tc>
          <w:tcPr>
            <w:tcW w:w="1460" w:type="dxa"/>
            <w:vMerge/>
            <w:tcBorders>
              <w:right w:val="single" w:sz="4" w:space="0" w:color="auto"/>
            </w:tcBorders>
            <w:shd w:val="clear" w:color="auto" w:fill="auto"/>
            <w:vAlign w:val="center"/>
          </w:tcPr>
          <w:p w14:paraId="102D38CA" w14:textId="77777777" w:rsidR="004C7F5E" w:rsidRPr="00611CC4" w:rsidRDefault="004C7F5E" w:rsidP="000C5A78">
            <w:pPr>
              <w:spacing w:after="0"/>
              <w:rPr>
                <w:b/>
              </w:rPr>
            </w:pPr>
          </w:p>
        </w:tc>
        <w:tc>
          <w:tcPr>
            <w:tcW w:w="1568" w:type="dxa"/>
            <w:vMerge/>
            <w:tcBorders>
              <w:left w:val="single" w:sz="4" w:space="0" w:color="auto"/>
              <w:right w:val="single" w:sz="4" w:space="0" w:color="auto"/>
            </w:tcBorders>
            <w:vAlign w:val="center"/>
          </w:tcPr>
          <w:p w14:paraId="31E85847" w14:textId="77777777" w:rsidR="004C7F5E" w:rsidRPr="00611CC4" w:rsidRDefault="004C7F5E" w:rsidP="000C5A78">
            <w:pPr>
              <w:pStyle w:val="TAC"/>
              <w:rPr>
                <w:rFonts w:cs="Arial"/>
              </w:rPr>
            </w:pPr>
          </w:p>
        </w:tc>
        <w:tc>
          <w:tcPr>
            <w:tcW w:w="1534" w:type="dxa"/>
            <w:tcBorders>
              <w:top w:val="single" w:sz="4" w:space="0" w:color="auto"/>
              <w:left w:val="single" w:sz="4" w:space="0" w:color="auto"/>
              <w:right w:val="single" w:sz="4" w:space="0" w:color="auto"/>
            </w:tcBorders>
            <w:vAlign w:val="center"/>
          </w:tcPr>
          <w:p w14:paraId="398F6CCB" w14:textId="77777777" w:rsidR="004C7F5E" w:rsidRPr="00611CC4" w:rsidRDefault="004C7F5E" w:rsidP="000C5A78">
            <w:pPr>
              <w:pStyle w:val="TAC"/>
              <w:rPr>
                <w:rFonts w:cs="Arial"/>
              </w:rPr>
            </w:pPr>
            <w:r w:rsidRPr="00611CC4">
              <w:rPr>
                <w:rFonts w:cs="Arial"/>
              </w:rPr>
              <w:t>-10</w:t>
            </w:r>
          </w:p>
        </w:tc>
        <w:tc>
          <w:tcPr>
            <w:tcW w:w="5038" w:type="dxa"/>
            <w:tcBorders>
              <w:left w:val="single" w:sz="4" w:space="0" w:color="auto"/>
              <w:right w:val="single" w:sz="4" w:space="0" w:color="auto"/>
            </w:tcBorders>
            <w:shd w:val="clear" w:color="auto" w:fill="auto"/>
            <w:vAlign w:val="center"/>
          </w:tcPr>
          <w:p w14:paraId="4E4D68C9" w14:textId="77777777" w:rsidR="004C7F5E" w:rsidRPr="00611CC4" w:rsidRDefault="004C7F5E" w:rsidP="000C5A78">
            <w:pPr>
              <w:pStyle w:val="TAL"/>
              <w:rPr>
                <w:rFonts w:cs="Arial"/>
              </w:rPr>
            </w:pPr>
            <w:r w:rsidRPr="00611CC4">
              <w:rPr>
                <w:rFonts w:cs="Arial"/>
              </w:rPr>
              <w:t xml:space="preserve">-40 dBm </w:t>
            </w:r>
            <w:r w:rsidRPr="00611CC4">
              <w:rPr>
                <w:rFonts w:cs="Arial"/>
              </w:rPr>
              <w:sym w:font="Symbol" w:char="F0A3"/>
            </w:r>
            <w:r w:rsidRPr="00611CC4">
              <w:rPr>
                <w:rFonts w:cs="Arial"/>
              </w:rPr>
              <w:t xml:space="preserve"> Output power &lt; -30 dBm</w:t>
            </w:r>
          </w:p>
        </w:tc>
      </w:tr>
    </w:tbl>
    <w:p w14:paraId="101D3F60" w14:textId="77777777" w:rsidR="003307DB" w:rsidRDefault="003307DB" w:rsidP="004C7F5E">
      <w:pPr>
        <w:overflowPunct/>
        <w:autoSpaceDE/>
        <w:adjustRightInd/>
        <w:spacing w:after="0"/>
        <w:jc w:val="center"/>
        <w:rPr>
          <w:rFonts w:ascii="Times New Roman" w:eastAsia="맑은 고딕" w:hAnsi="Times New Roman"/>
          <w:b/>
          <w:lang w:eastAsia="ko-KR"/>
        </w:rPr>
      </w:pPr>
    </w:p>
    <w:p w14:paraId="2DE27479" w14:textId="77777777" w:rsidR="000D64B5" w:rsidRDefault="000D64B5">
      <w:pPr>
        <w:overflowPunct/>
        <w:autoSpaceDE/>
        <w:autoSpaceDN/>
        <w:adjustRightInd/>
        <w:spacing w:after="0"/>
        <w:jc w:val="left"/>
        <w:textAlignment w:val="auto"/>
        <w:rPr>
          <w:rFonts w:ascii="Times New Roman" w:eastAsia="맑은 고딕" w:hAnsi="Times New Roman"/>
          <w:b/>
          <w:lang w:eastAsia="ko-KR"/>
        </w:rPr>
      </w:pPr>
      <w:r>
        <w:rPr>
          <w:rFonts w:ascii="Times New Roman" w:eastAsia="맑은 고딕" w:hAnsi="Times New Roman"/>
          <w:b/>
          <w:lang w:eastAsia="ko-KR"/>
        </w:rPr>
        <w:br w:type="page"/>
      </w:r>
    </w:p>
    <w:p w14:paraId="2E29B210" w14:textId="21CF6F02" w:rsidR="004C7F5E" w:rsidRDefault="008A6630" w:rsidP="004C7F5E">
      <w:pPr>
        <w:overflowPunct/>
        <w:autoSpaceDE/>
        <w:adjustRightInd/>
        <w:spacing w:after="0"/>
        <w:jc w:val="center"/>
        <w:rPr>
          <w:rFonts w:ascii="Times New Roman" w:eastAsia="맑은 고딕" w:hAnsi="Times New Roman"/>
          <w:b/>
          <w:lang w:eastAsia="ko-KR"/>
        </w:rPr>
      </w:pPr>
      <w:r>
        <w:rPr>
          <w:rFonts w:ascii="Times New Roman" w:eastAsia="맑은 고딕" w:hAnsi="Times New Roman"/>
          <w:b/>
          <w:lang w:eastAsia="ko-KR"/>
        </w:rPr>
        <w:lastRenderedPageBreak/>
        <w:t xml:space="preserve"> Table 4</w:t>
      </w:r>
      <w:r w:rsidR="004D04C2">
        <w:rPr>
          <w:rFonts w:ascii="Times New Roman" w:eastAsia="맑은 고딕" w:hAnsi="Times New Roman" w:hint="eastAsia"/>
          <w:b/>
          <w:lang w:eastAsia="ko-KR"/>
        </w:rPr>
        <w:t>.</w:t>
      </w:r>
      <w:r>
        <w:rPr>
          <w:rFonts w:ascii="Times New Roman" w:eastAsia="맑은 고딕" w:hAnsi="Times New Roman"/>
          <w:b/>
          <w:lang w:eastAsia="ko-KR"/>
        </w:rPr>
        <w:t xml:space="preserve"> IBE </w:t>
      </w:r>
      <w:r w:rsidR="004D04C2">
        <w:rPr>
          <w:rFonts w:ascii="Times New Roman" w:eastAsia="맑은 고딕" w:hAnsi="Times New Roman" w:hint="eastAsia"/>
          <w:b/>
          <w:lang w:eastAsia="ko-KR"/>
        </w:rPr>
        <w:t xml:space="preserve">requirement </w:t>
      </w:r>
      <w:r>
        <w:rPr>
          <w:rFonts w:ascii="Times New Roman" w:eastAsia="맑은 고딕" w:hAnsi="Times New Roman"/>
          <w:b/>
          <w:lang w:eastAsia="ko-KR"/>
        </w:rPr>
        <w:t>for</w:t>
      </w:r>
      <w:r w:rsidR="004C7F5E">
        <w:rPr>
          <w:rFonts w:ascii="Times New Roman" w:eastAsia="맑은 고딕" w:hAnsi="Times New Roman" w:hint="eastAsia"/>
          <w:b/>
          <w:lang w:eastAsia="ko-KR"/>
        </w:rPr>
        <w:t xml:space="preserve"> FR</w:t>
      </w:r>
      <w:r>
        <w:rPr>
          <w:rFonts w:ascii="Times New Roman" w:eastAsia="맑은 고딕" w:hAnsi="Times New Roman"/>
          <w:b/>
          <w:lang w:eastAsia="ko-KR"/>
        </w:rPr>
        <w:t>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696"/>
        <w:gridCol w:w="2269"/>
        <w:gridCol w:w="5764"/>
      </w:tblGrid>
      <w:tr w:rsidR="004C7F5E" w:rsidRPr="00963101" w14:paraId="6734D918" w14:textId="77777777" w:rsidTr="000C5A78">
        <w:trPr>
          <w:jc w:val="center"/>
        </w:trPr>
        <w:tc>
          <w:tcPr>
            <w:tcW w:w="1187" w:type="dxa"/>
            <w:tcBorders>
              <w:bottom w:val="single" w:sz="4" w:space="0" w:color="auto"/>
              <w:right w:val="single" w:sz="4" w:space="0" w:color="auto"/>
            </w:tcBorders>
            <w:shd w:val="clear" w:color="auto" w:fill="auto"/>
            <w:vAlign w:val="center"/>
          </w:tcPr>
          <w:p w14:paraId="1263B430" w14:textId="77777777" w:rsidR="004C7F5E" w:rsidRPr="00963101" w:rsidRDefault="004C7F5E" w:rsidP="000C5A78">
            <w:pPr>
              <w:pStyle w:val="TAH"/>
              <w:rPr>
                <w:rFonts w:cs="Arial"/>
                <w:i/>
                <w:iCs/>
              </w:rPr>
            </w:pPr>
            <w:r w:rsidRPr="0096310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60441B9" w14:textId="77777777" w:rsidR="004C7F5E" w:rsidRPr="00963101" w:rsidRDefault="004C7F5E" w:rsidP="000C5A78">
            <w:pPr>
              <w:pStyle w:val="TAH"/>
              <w:rPr>
                <w:rFonts w:cs="Arial"/>
              </w:rPr>
            </w:pPr>
            <w:r w:rsidRPr="0096310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3C5A1718" w14:textId="77777777" w:rsidR="004C7F5E" w:rsidRPr="00963101" w:rsidRDefault="004C7F5E" w:rsidP="000C5A78">
            <w:pPr>
              <w:pStyle w:val="TAH"/>
              <w:rPr>
                <w:rFonts w:cs="Arial"/>
              </w:rPr>
            </w:pPr>
            <w:r w:rsidRPr="00963101">
              <w:rPr>
                <w:rFonts w:cs="Arial"/>
              </w:rPr>
              <w:t>Limit (NOTE 1)</w:t>
            </w:r>
          </w:p>
        </w:tc>
      </w:tr>
      <w:tr w:rsidR="004C7F5E" w:rsidRPr="00963101" w14:paraId="322FEFE0" w14:textId="77777777" w:rsidTr="000C5A78">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717964B4" w14:textId="77777777" w:rsidR="004C7F5E" w:rsidRPr="00963101" w:rsidRDefault="004C7F5E" w:rsidP="000C5A78">
            <w:pPr>
              <w:pStyle w:val="TAH"/>
              <w:rPr>
                <w:rFonts w:cs="Arial"/>
              </w:rPr>
            </w:pPr>
            <w:r w:rsidRPr="0096310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59193850" w14:textId="77777777" w:rsidR="004C7F5E" w:rsidRPr="00963101" w:rsidRDefault="004C7F5E" w:rsidP="000C5A78">
            <w:pPr>
              <w:pStyle w:val="TAC"/>
              <w:rPr>
                <w:rFonts w:cs="Arial"/>
              </w:rPr>
            </w:pPr>
            <w:r w:rsidRPr="0096310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79236B2" w14:textId="77777777" w:rsidR="004C7F5E" w:rsidRPr="00963101" w:rsidRDefault="004C7F5E" w:rsidP="000C5A78">
            <w:pPr>
              <w:pStyle w:val="TAC"/>
              <w:rPr>
                <w:rFonts w:cs="Arial"/>
                <w:lang w:eastAsia="ko-KR"/>
              </w:rPr>
            </w:pPr>
            <w:r w:rsidRPr="00963101">
              <w:rPr>
                <w:noProof/>
                <w:lang w:val="en-US" w:eastAsia="ko-KR"/>
              </w:rPr>
              <w:drawing>
                <wp:inline distT="0" distB="0" distL="0" distR="0" wp14:anchorId="1CB71039" wp14:editId="35F62470">
                  <wp:extent cx="2078990" cy="83693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l="29276" r="28703"/>
                          <a:stretch>
                            <a:fillRect/>
                          </a:stretch>
                        </pic:blipFill>
                        <pic:spPr bwMode="auto">
                          <a:xfrm>
                            <a:off x="0" y="0"/>
                            <a:ext cx="2078990" cy="836930"/>
                          </a:xfrm>
                          <a:prstGeom prst="rect">
                            <a:avLst/>
                          </a:prstGeom>
                          <a:noFill/>
                          <a:ln w="9525">
                            <a:noFill/>
                            <a:miter lim="800000"/>
                            <a:headEnd/>
                            <a:tailEnd/>
                          </a:ln>
                        </pic:spPr>
                      </pic:pic>
                    </a:graphicData>
                  </a:graphic>
                </wp:inline>
              </w:drawing>
            </w:r>
          </w:p>
          <w:p w14:paraId="7F491823" w14:textId="77777777" w:rsidR="004C7F5E" w:rsidRPr="00963101" w:rsidRDefault="004C7F5E" w:rsidP="000C5A78">
            <w:pPr>
              <w:pStyle w:val="TAC"/>
              <w:rPr>
                <w:rFonts w:cs="Arial"/>
              </w:rPr>
            </w:pPr>
          </w:p>
        </w:tc>
      </w:tr>
      <w:tr w:rsidR="004C7F5E" w:rsidRPr="00963101" w14:paraId="7CE94698" w14:textId="77777777" w:rsidTr="000C5A78">
        <w:trPr>
          <w:jc w:val="center"/>
        </w:trPr>
        <w:tc>
          <w:tcPr>
            <w:tcW w:w="1187" w:type="dxa"/>
            <w:vMerge w:val="restart"/>
            <w:tcBorders>
              <w:top w:val="single" w:sz="4" w:space="0" w:color="auto"/>
              <w:right w:val="single" w:sz="4" w:space="0" w:color="auto"/>
            </w:tcBorders>
            <w:shd w:val="clear" w:color="auto" w:fill="auto"/>
            <w:vAlign w:val="center"/>
          </w:tcPr>
          <w:p w14:paraId="74123346" w14:textId="77777777" w:rsidR="004C7F5E" w:rsidRPr="00963101" w:rsidRDefault="004C7F5E" w:rsidP="000C5A78">
            <w:pPr>
              <w:pStyle w:val="TAH"/>
              <w:rPr>
                <w:rFonts w:cs="Arial"/>
              </w:rPr>
            </w:pPr>
            <w:r w:rsidRPr="0096310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7945E888" w14:textId="77777777" w:rsidR="004C7F5E" w:rsidRPr="00963101" w:rsidRDefault="004C7F5E" w:rsidP="000C5A78">
            <w:pPr>
              <w:pStyle w:val="TAC"/>
              <w:rPr>
                <w:rFonts w:cs="Arial"/>
              </w:rPr>
            </w:pPr>
            <w:r w:rsidRPr="00963101">
              <w:rPr>
                <w:rFonts w:cs="Arial"/>
              </w:rPr>
              <w:t>dB</w:t>
            </w:r>
          </w:p>
        </w:tc>
        <w:tc>
          <w:tcPr>
            <w:tcW w:w="1845" w:type="dxa"/>
            <w:tcBorders>
              <w:top w:val="single" w:sz="4" w:space="0" w:color="auto"/>
              <w:left w:val="single" w:sz="4" w:space="0" w:color="auto"/>
              <w:right w:val="single" w:sz="4" w:space="0" w:color="auto"/>
            </w:tcBorders>
            <w:vAlign w:val="center"/>
          </w:tcPr>
          <w:p w14:paraId="09F69D06" w14:textId="77777777" w:rsidR="004C7F5E" w:rsidRPr="00963101" w:rsidRDefault="004C7F5E" w:rsidP="000C5A78">
            <w:pPr>
              <w:pStyle w:val="TAC"/>
              <w:rPr>
                <w:rFonts w:cs="Arial"/>
              </w:rPr>
            </w:pPr>
            <w:r w:rsidRPr="00963101">
              <w:rPr>
                <w:rFonts w:cs="Arial"/>
              </w:rPr>
              <w:t>-25</w:t>
            </w:r>
          </w:p>
        </w:tc>
        <w:tc>
          <w:tcPr>
            <w:tcW w:w="4686" w:type="dxa"/>
            <w:tcBorders>
              <w:top w:val="single" w:sz="4" w:space="0" w:color="auto"/>
              <w:left w:val="single" w:sz="4" w:space="0" w:color="auto"/>
              <w:right w:val="single" w:sz="4" w:space="0" w:color="auto"/>
            </w:tcBorders>
            <w:vAlign w:val="center"/>
          </w:tcPr>
          <w:p w14:paraId="54F2AD25" w14:textId="77777777" w:rsidR="004C7F5E" w:rsidRPr="00963101" w:rsidRDefault="004C7F5E" w:rsidP="000C5A78">
            <w:pPr>
              <w:pStyle w:val="TAL"/>
              <w:rPr>
                <w:rFonts w:cs="Arial"/>
              </w:rPr>
            </w:pPr>
            <w:r w:rsidRPr="00963101">
              <w:rPr>
                <w:rFonts w:cs="Arial"/>
              </w:rPr>
              <w:t>Output power &gt; 10 dBm</w:t>
            </w:r>
          </w:p>
        </w:tc>
      </w:tr>
      <w:tr w:rsidR="004C7F5E" w:rsidRPr="00963101" w14:paraId="4F9AD07A" w14:textId="77777777" w:rsidTr="000C5A78">
        <w:trPr>
          <w:jc w:val="center"/>
        </w:trPr>
        <w:tc>
          <w:tcPr>
            <w:tcW w:w="1187" w:type="dxa"/>
            <w:vMerge/>
            <w:tcBorders>
              <w:right w:val="single" w:sz="4" w:space="0" w:color="auto"/>
            </w:tcBorders>
            <w:shd w:val="clear" w:color="auto" w:fill="auto"/>
            <w:vAlign w:val="center"/>
          </w:tcPr>
          <w:p w14:paraId="1C46337A" w14:textId="77777777" w:rsidR="004C7F5E" w:rsidRPr="00963101" w:rsidRDefault="004C7F5E" w:rsidP="000C5A78">
            <w:pPr>
              <w:pStyle w:val="TAH"/>
              <w:rPr>
                <w:rFonts w:cs="Arial"/>
              </w:rPr>
            </w:pPr>
          </w:p>
        </w:tc>
        <w:tc>
          <w:tcPr>
            <w:tcW w:w="566" w:type="dxa"/>
            <w:vMerge/>
            <w:tcBorders>
              <w:left w:val="single" w:sz="4" w:space="0" w:color="auto"/>
              <w:right w:val="single" w:sz="4" w:space="0" w:color="auto"/>
            </w:tcBorders>
            <w:vAlign w:val="center"/>
          </w:tcPr>
          <w:p w14:paraId="4C318558" w14:textId="77777777" w:rsidR="004C7F5E" w:rsidRPr="00963101" w:rsidRDefault="004C7F5E" w:rsidP="000C5A78">
            <w:pPr>
              <w:pStyle w:val="TAC"/>
              <w:rPr>
                <w:rFonts w:cs="Arial"/>
              </w:rPr>
            </w:pPr>
          </w:p>
        </w:tc>
        <w:tc>
          <w:tcPr>
            <w:tcW w:w="1845" w:type="dxa"/>
            <w:tcBorders>
              <w:top w:val="single" w:sz="4" w:space="0" w:color="auto"/>
              <w:left w:val="single" w:sz="4" w:space="0" w:color="auto"/>
              <w:right w:val="single" w:sz="4" w:space="0" w:color="auto"/>
            </w:tcBorders>
            <w:vAlign w:val="center"/>
          </w:tcPr>
          <w:p w14:paraId="22D55963" w14:textId="77777777" w:rsidR="004C7F5E" w:rsidRPr="00963101" w:rsidRDefault="004C7F5E" w:rsidP="000C5A78">
            <w:pPr>
              <w:pStyle w:val="TAC"/>
              <w:rPr>
                <w:rFonts w:cs="Arial"/>
              </w:rPr>
            </w:pPr>
            <w:r w:rsidRPr="00963101">
              <w:rPr>
                <w:rFonts w:cs="Arial"/>
              </w:rPr>
              <w:t>-20</w:t>
            </w:r>
          </w:p>
        </w:tc>
        <w:tc>
          <w:tcPr>
            <w:tcW w:w="4686" w:type="dxa"/>
            <w:tcBorders>
              <w:top w:val="single" w:sz="4" w:space="0" w:color="auto"/>
              <w:left w:val="single" w:sz="4" w:space="0" w:color="auto"/>
              <w:right w:val="single" w:sz="4" w:space="0" w:color="auto"/>
            </w:tcBorders>
            <w:vAlign w:val="center"/>
          </w:tcPr>
          <w:p w14:paraId="6DD2EB53" w14:textId="77777777" w:rsidR="004C7F5E" w:rsidRPr="00963101" w:rsidRDefault="004C7F5E" w:rsidP="000C5A78">
            <w:pPr>
              <w:pStyle w:val="TAL"/>
              <w:rPr>
                <w:rFonts w:cs="Arial"/>
              </w:rPr>
            </w:pPr>
            <w:r w:rsidRPr="00963101">
              <w:rPr>
                <w:rFonts w:cs="Arial"/>
              </w:rPr>
              <w:t>Output power ≤ 10 dBm</w:t>
            </w:r>
          </w:p>
        </w:tc>
      </w:tr>
      <w:tr w:rsidR="004C7F5E" w:rsidRPr="00963101" w14:paraId="17C796BD" w14:textId="77777777" w:rsidTr="000C5A78">
        <w:trPr>
          <w:trHeight w:val="208"/>
          <w:jc w:val="center"/>
        </w:trPr>
        <w:tc>
          <w:tcPr>
            <w:tcW w:w="1187" w:type="dxa"/>
            <w:vMerge w:val="restart"/>
            <w:tcBorders>
              <w:top w:val="single" w:sz="4" w:space="0" w:color="auto"/>
              <w:right w:val="single" w:sz="4" w:space="0" w:color="auto"/>
            </w:tcBorders>
            <w:shd w:val="clear" w:color="auto" w:fill="auto"/>
            <w:vAlign w:val="center"/>
          </w:tcPr>
          <w:p w14:paraId="013CC5F2" w14:textId="77777777" w:rsidR="004C7F5E" w:rsidRPr="00963101" w:rsidRDefault="004C7F5E" w:rsidP="000C5A78">
            <w:pPr>
              <w:pStyle w:val="TAH"/>
              <w:rPr>
                <w:rFonts w:cs="Arial"/>
              </w:rPr>
            </w:pPr>
            <w:r w:rsidRPr="0096310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3827E6D" w14:textId="77777777" w:rsidR="004C7F5E" w:rsidRPr="00963101" w:rsidRDefault="004C7F5E" w:rsidP="000C5A78">
            <w:pPr>
              <w:pStyle w:val="TAC"/>
              <w:rPr>
                <w:rFonts w:cs="Arial"/>
              </w:rPr>
            </w:pPr>
            <w:r w:rsidRPr="00963101">
              <w:rPr>
                <w:rFonts w:cs="Arial"/>
              </w:rPr>
              <w:t>dBc</w:t>
            </w:r>
          </w:p>
        </w:tc>
        <w:tc>
          <w:tcPr>
            <w:tcW w:w="1845" w:type="dxa"/>
            <w:tcBorders>
              <w:top w:val="single" w:sz="4" w:space="0" w:color="auto"/>
              <w:left w:val="single" w:sz="4" w:space="0" w:color="auto"/>
              <w:right w:val="single" w:sz="4" w:space="0" w:color="auto"/>
            </w:tcBorders>
            <w:vAlign w:val="center"/>
          </w:tcPr>
          <w:p w14:paraId="1038E734" w14:textId="77777777" w:rsidR="004C7F5E" w:rsidRPr="00963101" w:rsidRDefault="004C7F5E" w:rsidP="000C5A78">
            <w:pPr>
              <w:pStyle w:val="TAC"/>
              <w:rPr>
                <w:rFonts w:cs="Arial"/>
              </w:rPr>
            </w:pPr>
            <w:r w:rsidRPr="0096310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720A7F6E" w14:textId="77777777" w:rsidR="004C7F5E" w:rsidRPr="00963101" w:rsidRDefault="004C7F5E" w:rsidP="000C5A78">
            <w:pPr>
              <w:pStyle w:val="TAL"/>
              <w:rPr>
                <w:rFonts w:cs="Arial"/>
              </w:rPr>
            </w:pPr>
            <w:r w:rsidRPr="00963101">
              <w:rPr>
                <w:rFonts w:cs="Arial"/>
              </w:rPr>
              <w:t xml:space="preserve">Output power &gt; 0 dBm </w:t>
            </w:r>
          </w:p>
        </w:tc>
      </w:tr>
      <w:tr w:rsidR="004C7F5E" w:rsidRPr="00963101" w14:paraId="0B9CE2D7" w14:textId="77777777" w:rsidTr="000C5A78">
        <w:trPr>
          <w:trHeight w:val="208"/>
          <w:jc w:val="center"/>
        </w:trPr>
        <w:tc>
          <w:tcPr>
            <w:tcW w:w="1187" w:type="dxa"/>
            <w:vMerge/>
            <w:tcBorders>
              <w:top w:val="single" w:sz="4" w:space="0" w:color="auto"/>
              <w:right w:val="single" w:sz="4" w:space="0" w:color="auto"/>
            </w:tcBorders>
            <w:shd w:val="clear" w:color="auto" w:fill="auto"/>
            <w:vAlign w:val="center"/>
          </w:tcPr>
          <w:p w14:paraId="5EEE7E97" w14:textId="77777777" w:rsidR="004C7F5E" w:rsidRPr="00963101" w:rsidRDefault="004C7F5E" w:rsidP="000C5A78">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7E7B4DF4" w14:textId="77777777" w:rsidR="004C7F5E" w:rsidRPr="00963101" w:rsidRDefault="004C7F5E" w:rsidP="000C5A78">
            <w:pPr>
              <w:pStyle w:val="TAC"/>
              <w:rPr>
                <w:rFonts w:cs="Arial"/>
              </w:rPr>
            </w:pPr>
          </w:p>
        </w:tc>
        <w:tc>
          <w:tcPr>
            <w:tcW w:w="1845" w:type="dxa"/>
            <w:tcBorders>
              <w:top w:val="single" w:sz="4" w:space="0" w:color="auto"/>
              <w:left w:val="single" w:sz="4" w:space="0" w:color="auto"/>
              <w:right w:val="single" w:sz="4" w:space="0" w:color="auto"/>
            </w:tcBorders>
            <w:vAlign w:val="center"/>
          </w:tcPr>
          <w:p w14:paraId="5B6A8772" w14:textId="77777777" w:rsidR="004C7F5E" w:rsidRPr="00963101" w:rsidRDefault="004C7F5E" w:rsidP="000C5A78">
            <w:pPr>
              <w:pStyle w:val="TAC"/>
              <w:rPr>
                <w:rFonts w:cs="Arial"/>
              </w:rPr>
            </w:pPr>
            <w:r w:rsidRPr="0096310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20DAF95B" w14:textId="77777777" w:rsidR="004C7F5E" w:rsidRPr="00963101" w:rsidRDefault="004C7F5E" w:rsidP="000C5A78">
            <w:pPr>
              <w:pStyle w:val="TAL"/>
              <w:rPr>
                <w:rFonts w:cs="Arial"/>
              </w:rPr>
            </w:pPr>
            <w:r w:rsidRPr="00963101">
              <w:rPr>
                <w:rFonts w:cs="Arial"/>
              </w:rPr>
              <w:t>-13 dBm ≤ Output power ≤ 0 dBm</w:t>
            </w:r>
          </w:p>
        </w:tc>
      </w:tr>
    </w:tbl>
    <w:p w14:paraId="722116D2" w14:textId="0D812308" w:rsidR="004C7F5E" w:rsidRPr="004C7F5E" w:rsidRDefault="004C7F5E" w:rsidP="00D15575">
      <w:pPr>
        <w:overflowPunct/>
        <w:autoSpaceDE/>
        <w:adjustRightInd/>
        <w:spacing w:after="0"/>
        <w:jc w:val="left"/>
        <w:rPr>
          <w:rFonts w:eastAsia="맑은 고딕"/>
          <w:lang w:eastAsia="ko-KR"/>
        </w:rPr>
      </w:pPr>
    </w:p>
    <w:p w14:paraId="4136595B" w14:textId="77777777" w:rsidR="00B63FB6" w:rsidRPr="00B63FB6" w:rsidRDefault="00B63FB6" w:rsidP="008818B3">
      <w:pPr>
        <w:overflowPunct/>
        <w:autoSpaceDE/>
        <w:adjustRightInd/>
        <w:spacing w:after="0"/>
        <w:jc w:val="left"/>
        <w:rPr>
          <w:rFonts w:eastAsia="맑은 고딕"/>
        </w:rPr>
      </w:pP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bookmarkEnd w:id="4"/>
    <w:bookmarkEnd w:id="5"/>
    <w:p w14:paraId="6CE8E342" w14:textId="6EDC3BDB" w:rsidR="0012564D" w:rsidRDefault="0012564D" w:rsidP="00907C82">
      <w:pPr>
        <w:pStyle w:val="LGTdoc"/>
        <w:spacing w:line="240" w:lineRule="auto"/>
        <w:ind w:firstLine="432"/>
        <w:rPr>
          <w:szCs w:val="22"/>
          <w:lang w:val="en-US"/>
        </w:rPr>
      </w:pPr>
      <w:r>
        <w:rPr>
          <w:szCs w:val="22"/>
          <w:lang w:val="en-US"/>
        </w:rPr>
        <w:t xml:space="preserve">This contribution discussed on </w:t>
      </w:r>
      <w:r w:rsidR="00907C82" w:rsidRPr="0065253E">
        <w:rPr>
          <w:rFonts w:eastAsia="맑은 고딕"/>
          <w:iCs/>
          <w:kern w:val="0"/>
          <w:szCs w:val="22"/>
          <w:lang w:val="en-US"/>
        </w:rPr>
        <w:t xml:space="preserve">the </w:t>
      </w:r>
      <w:r w:rsidR="00907C82">
        <w:rPr>
          <w:rFonts w:eastAsia="맑은 고딕" w:hint="eastAsia"/>
          <w:iCs/>
          <w:kern w:val="0"/>
          <w:szCs w:val="22"/>
          <w:lang w:val="en-US"/>
        </w:rPr>
        <w:t>remaining aspects of simulation assumption</w:t>
      </w:r>
      <w:r>
        <w:rPr>
          <w:szCs w:val="22"/>
          <w:lang w:val="en-US"/>
        </w:rPr>
        <w:t>. The discussions can be summarized as follows:</w:t>
      </w:r>
    </w:p>
    <w:p w14:paraId="42D85AE7" w14:textId="77777777" w:rsidR="003307DB" w:rsidRDefault="003307DB" w:rsidP="003307DB">
      <w:pPr>
        <w:pStyle w:val="LGTdoc"/>
        <w:spacing w:before="100" w:beforeAutospacing="1" w:afterLines="0" w:after="0" w:line="240" w:lineRule="auto"/>
        <w:rPr>
          <w:rFonts w:ascii="Calibri" w:hAnsi="Calibri"/>
          <w:szCs w:val="22"/>
          <w:lang w:val="en-US"/>
        </w:rPr>
      </w:pPr>
      <w:r w:rsidRPr="0065253E">
        <w:rPr>
          <w:b/>
          <w:i/>
          <w:szCs w:val="22"/>
          <w:lang w:val="en-US"/>
        </w:rPr>
        <w:t xml:space="preserve">Proposal </w:t>
      </w:r>
      <w:r>
        <w:rPr>
          <w:rFonts w:hint="eastAsia"/>
          <w:b/>
          <w:i/>
          <w:szCs w:val="22"/>
          <w:lang w:val="en-US"/>
        </w:rPr>
        <w:t>1</w:t>
      </w:r>
      <w:r w:rsidRPr="0065253E">
        <w:rPr>
          <w:b/>
          <w:i/>
          <w:szCs w:val="22"/>
          <w:lang w:val="en-US"/>
        </w:rPr>
        <w:t xml:space="preserve">: For </w:t>
      </w:r>
      <w:r>
        <w:rPr>
          <w:b/>
          <w:i/>
          <w:szCs w:val="22"/>
          <w:lang w:val="en-US"/>
        </w:rPr>
        <w:t xml:space="preserve">each transmitter for </w:t>
      </w:r>
      <w:r w:rsidRPr="0065253E">
        <w:rPr>
          <w:b/>
          <w:i/>
          <w:szCs w:val="22"/>
          <w:lang w:val="en-US"/>
        </w:rPr>
        <w:t>unicast,</w:t>
      </w:r>
      <w:r>
        <w:rPr>
          <w:rFonts w:hint="eastAsia"/>
          <w:b/>
          <w:i/>
          <w:szCs w:val="22"/>
          <w:lang w:val="en-US"/>
        </w:rPr>
        <w:t xml:space="preserve"> </w:t>
      </w:r>
      <w:r>
        <w:rPr>
          <w:b/>
          <w:i/>
          <w:szCs w:val="22"/>
          <w:lang w:val="en-US"/>
        </w:rPr>
        <w:t xml:space="preserve">the target receiver is randomly selected among the UEs </w:t>
      </w:r>
      <w:r w:rsidRPr="007E2848">
        <w:rPr>
          <w:b/>
          <w:i/>
          <w:szCs w:val="22"/>
          <w:lang w:val="en-US"/>
        </w:rPr>
        <w:t>which have the coupling loss less than the predefined threshold</w:t>
      </w:r>
      <w:r>
        <w:rPr>
          <w:b/>
          <w:i/>
          <w:szCs w:val="22"/>
          <w:lang w:val="en-US"/>
        </w:rPr>
        <w:t>.</w:t>
      </w:r>
      <w:r w:rsidRPr="007E2848">
        <w:rPr>
          <w:rFonts w:hint="eastAsia"/>
          <w:b/>
          <w:i/>
          <w:szCs w:val="22"/>
          <w:lang w:val="en-US"/>
        </w:rPr>
        <w:t xml:space="preserve"> </w:t>
      </w:r>
    </w:p>
    <w:p w14:paraId="0124250A" w14:textId="77777777" w:rsidR="003307DB" w:rsidRDefault="003307DB" w:rsidP="003307DB">
      <w:pPr>
        <w:pStyle w:val="LGTdoc"/>
        <w:spacing w:before="100" w:beforeAutospacing="1" w:afterLines="0" w:after="0" w:line="240" w:lineRule="auto"/>
        <w:rPr>
          <w:rFonts w:ascii="Calibri" w:hAnsi="Calibri"/>
          <w:szCs w:val="22"/>
          <w:lang w:val="en-US"/>
        </w:rPr>
      </w:pPr>
      <w:r w:rsidRPr="0065253E">
        <w:rPr>
          <w:b/>
          <w:i/>
          <w:szCs w:val="22"/>
          <w:lang w:val="en-US"/>
        </w:rPr>
        <w:t xml:space="preserve">Proposal </w:t>
      </w:r>
      <w:r>
        <w:rPr>
          <w:rFonts w:hint="eastAsia"/>
          <w:b/>
          <w:i/>
          <w:szCs w:val="22"/>
          <w:lang w:val="en-US"/>
        </w:rPr>
        <w:t>2</w:t>
      </w:r>
      <w:r w:rsidRPr="0065253E">
        <w:rPr>
          <w:b/>
          <w:i/>
          <w:szCs w:val="22"/>
          <w:lang w:val="en-US"/>
        </w:rPr>
        <w:t xml:space="preserve">: For </w:t>
      </w:r>
      <w:r>
        <w:rPr>
          <w:b/>
          <w:i/>
          <w:szCs w:val="22"/>
          <w:lang w:val="en-US"/>
        </w:rPr>
        <w:t>each transmitter for platooning</w:t>
      </w:r>
      <w:r w:rsidRPr="0065253E">
        <w:rPr>
          <w:b/>
          <w:i/>
          <w:szCs w:val="22"/>
          <w:lang w:val="en-US"/>
        </w:rPr>
        <w:t xml:space="preserve">, </w:t>
      </w:r>
      <w:r>
        <w:rPr>
          <w:b/>
          <w:i/>
          <w:szCs w:val="22"/>
          <w:lang w:val="en-US"/>
        </w:rPr>
        <w:t xml:space="preserve">the target receivers are the all UEs belonging to the same platoon. </w:t>
      </w:r>
    </w:p>
    <w:p w14:paraId="6B5319C2" w14:textId="62F6FBF2" w:rsidR="008818B3" w:rsidRDefault="008818B3" w:rsidP="008818B3">
      <w:pPr>
        <w:pStyle w:val="LGTdoc"/>
        <w:spacing w:before="100" w:beforeAutospacing="1" w:afterLines="0" w:after="100" w:afterAutospacing="1" w:line="240" w:lineRule="auto"/>
        <w:rPr>
          <w:b/>
          <w:i/>
          <w:szCs w:val="22"/>
          <w:lang w:val="en-US"/>
        </w:rPr>
      </w:pPr>
      <w:r w:rsidRPr="0065253E">
        <w:rPr>
          <w:b/>
          <w:i/>
          <w:szCs w:val="22"/>
          <w:lang w:val="en-US"/>
        </w:rPr>
        <w:t xml:space="preserve">Proposal </w:t>
      </w:r>
      <w:r w:rsidR="009121B8">
        <w:rPr>
          <w:rFonts w:hint="eastAsia"/>
          <w:b/>
          <w:i/>
          <w:szCs w:val="22"/>
          <w:lang w:val="en-US"/>
        </w:rPr>
        <w:t>3</w:t>
      </w:r>
      <w:r w:rsidRPr="0065253E">
        <w:rPr>
          <w:b/>
          <w:i/>
          <w:szCs w:val="22"/>
          <w:lang w:val="en-US"/>
        </w:rPr>
        <w:t xml:space="preserve">: When evaluating the unicast/multicast applications, it needs to allow that only a certain percentage of dropped UEs perform the message transmission. </w:t>
      </w:r>
    </w:p>
    <w:p w14:paraId="3F026A77" w14:textId="77777777" w:rsidR="00C50C5E" w:rsidRDefault="00C50C5E" w:rsidP="00C50C5E">
      <w:pPr>
        <w:pStyle w:val="LGTdoc"/>
        <w:spacing w:before="100" w:beforeAutospacing="1" w:afterLines="0" w:after="0" w:line="240" w:lineRule="auto"/>
        <w:rPr>
          <w:b/>
          <w:i/>
          <w:szCs w:val="22"/>
          <w:lang w:val="en-US"/>
        </w:rPr>
      </w:pPr>
      <w:r w:rsidRPr="0065253E">
        <w:rPr>
          <w:b/>
          <w:i/>
          <w:szCs w:val="22"/>
          <w:lang w:val="en-US"/>
        </w:rPr>
        <w:t xml:space="preserve">Proposal </w:t>
      </w:r>
      <w:r>
        <w:rPr>
          <w:rFonts w:hint="eastAsia"/>
          <w:b/>
          <w:i/>
          <w:szCs w:val="22"/>
          <w:lang w:val="en-US"/>
        </w:rPr>
        <w:t>4</w:t>
      </w:r>
      <w:r w:rsidRPr="0065253E">
        <w:rPr>
          <w:b/>
          <w:i/>
          <w:szCs w:val="22"/>
          <w:lang w:val="en-US"/>
        </w:rPr>
        <w:t>:</w:t>
      </w:r>
      <w:r>
        <w:rPr>
          <w:rFonts w:hint="eastAsia"/>
          <w:b/>
          <w:i/>
          <w:szCs w:val="22"/>
          <w:lang w:val="en-US"/>
        </w:rPr>
        <w:t xml:space="preserve"> </w:t>
      </w:r>
      <w:r>
        <w:rPr>
          <w:b/>
          <w:i/>
          <w:szCs w:val="22"/>
          <w:lang w:val="en-US"/>
        </w:rPr>
        <w:t>RAN1 sends an LS to RAN4 to inform the tentative RAN1 assumptions of AGC settling time, Tx/Rx switching period, and IBE model for NR sidelink as shown below and to ask guidance for these assumptions.</w:t>
      </w:r>
    </w:p>
    <w:p w14:paraId="5ABB2441" w14:textId="77777777" w:rsidR="00C50C5E" w:rsidRDefault="00C50C5E" w:rsidP="00C50C5E">
      <w:pPr>
        <w:pStyle w:val="LGTdoc"/>
        <w:numPr>
          <w:ilvl w:val="0"/>
          <w:numId w:val="49"/>
        </w:numPr>
        <w:spacing w:before="100" w:beforeAutospacing="1" w:afterLines="0" w:after="0" w:line="240" w:lineRule="auto"/>
        <w:rPr>
          <w:rFonts w:hint="eastAsia"/>
          <w:b/>
          <w:i/>
          <w:szCs w:val="22"/>
          <w:lang w:val="en-US"/>
        </w:rPr>
      </w:pPr>
      <w:r>
        <w:rPr>
          <w:rFonts w:hint="eastAsia"/>
          <w:b/>
          <w:i/>
          <w:szCs w:val="22"/>
          <w:lang w:val="en-US"/>
        </w:rPr>
        <w:t>RAN1 assumptions</w:t>
      </w:r>
    </w:p>
    <w:p w14:paraId="586AC753" w14:textId="77777777" w:rsidR="00C50C5E" w:rsidRDefault="00C50C5E" w:rsidP="00C50C5E">
      <w:pPr>
        <w:pStyle w:val="LGTdoc"/>
        <w:numPr>
          <w:ilvl w:val="1"/>
          <w:numId w:val="49"/>
        </w:numPr>
        <w:spacing w:before="100" w:beforeAutospacing="1" w:afterLines="0" w:after="0" w:line="240" w:lineRule="auto"/>
        <w:rPr>
          <w:b/>
          <w:i/>
          <w:szCs w:val="22"/>
          <w:lang w:val="en-US"/>
        </w:rPr>
      </w:pPr>
      <w:r>
        <w:rPr>
          <w:b/>
          <w:i/>
          <w:szCs w:val="22"/>
          <w:lang w:val="en-US"/>
        </w:rPr>
        <w:t xml:space="preserve">AGC settling time: up to 70us at least for FR1, FFS for FR2 </w:t>
      </w:r>
    </w:p>
    <w:p w14:paraId="136DA2B5" w14:textId="77777777" w:rsidR="00C50C5E" w:rsidRDefault="00C50C5E" w:rsidP="00C50C5E">
      <w:pPr>
        <w:pStyle w:val="LGTdoc"/>
        <w:numPr>
          <w:ilvl w:val="1"/>
          <w:numId w:val="49"/>
        </w:numPr>
        <w:spacing w:before="100" w:beforeAutospacing="1" w:afterLines="0" w:after="0" w:line="240" w:lineRule="auto"/>
        <w:rPr>
          <w:b/>
          <w:i/>
          <w:szCs w:val="22"/>
          <w:lang w:val="en-US"/>
        </w:rPr>
      </w:pPr>
      <w:r>
        <w:rPr>
          <w:rFonts w:hint="eastAsia"/>
          <w:b/>
          <w:i/>
          <w:szCs w:val="22"/>
          <w:lang w:val="en-US"/>
        </w:rPr>
        <w:t xml:space="preserve">Tx/Rx switching period: </w:t>
      </w:r>
      <w:r>
        <w:rPr>
          <w:b/>
          <w:i/>
          <w:szCs w:val="22"/>
          <w:lang w:val="en-US"/>
        </w:rPr>
        <w:t>10us for FR1, 5us for FR2</w:t>
      </w:r>
    </w:p>
    <w:p w14:paraId="7007AE47" w14:textId="09D81755" w:rsidR="00C50C5E" w:rsidRDefault="00C50C5E" w:rsidP="00C50C5E">
      <w:pPr>
        <w:pStyle w:val="LGTdoc"/>
        <w:numPr>
          <w:ilvl w:val="1"/>
          <w:numId w:val="49"/>
        </w:numPr>
        <w:spacing w:before="100" w:beforeAutospacing="1" w:afterLines="0" w:after="0" w:line="240" w:lineRule="auto"/>
        <w:rPr>
          <w:b/>
          <w:i/>
          <w:szCs w:val="22"/>
          <w:lang w:val="en-US"/>
        </w:rPr>
      </w:pPr>
      <w:r>
        <w:rPr>
          <w:b/>
          <w:i/>
          <w:szCs w:val="22"/>
          <w:lang w:val="en-US"/>
        </w:rPr>
        <w:t>Inband emission</w:t>
      </w:r>
      <w:r>
        <w:rPr>
          <w:b/>
          <w:i/>
          <w:szCs w:val="22"/>
          <w:lang w:val="en-US"/>
        </w:rPr>
        <w:t xml:space="preserve"> model</w:t>
      </w:r>
      <w:r>
        <w:rPr>
          <w:b/>
          <w:i/>
          <w:szCs w:val="22"/>
          <w:lang w:val="en-US"/>
        </w:rPr>
        <w:t xml:space="preserve">: use IBE requirement for FR1 and FR2 as specified in TS38.101 with applying W,X,Y,Z=[3,6,3,3] values </w:t>
      </w:r>
      <w:r w:rsidR="00B2721F">
        <w:rPr>
          <w:b/>
          <w:i/>
          <w:szCs w:val="22"/>
          <w:lang w:val="en-US"/>
        </w:rPr>
        <w:t xml:space="preserve">which are </w:t>
      </w:r>
      <w:r>
        <w:rPr>
          <w:b/>
          <w:i/>
          <w:szCs w:val="22"/>
          <w:lang w:val="en-US"/>
        </w:rPr>
        <w:t>defined in TR36.843</w:t>
      </w:r>
    </w:p>
    <w:p w14:paraId="3DC2E672" w14:textId="77777777" w:rsidR="0015601B" w:rsidRPr="00C50C5E" w:rsidRDefault="0015601B" w:rsidP="003C35A2">
      <w:pPr>
        <w:rPr>
          <w:rFonts w:eastAsia="맑은 고딕" w:cs="Arial"/>
          <w:lang w:val="en-US" w:eastAsia="ko-KR"/>
        </w:rPr>
      </w:pPr>
    </w:p>
    <w:p w14:paraId="7F809036" w14:textId="77777777" w:rsidR="00D4336C" w:rsidRDefault="00D4336C" w:rsidP="00D4336C">
      <w:pPr>
        <w:pStyle w:val="1"/>
        <w:rPr>
          <w:rFonts w:eastAsia="맑은 고딕"/>
          <w:noProof/>
          <w:lang w:eastAsia="ko-KR"/>
        </w:rPr>
      </w:pPr>
      <w:r>
        <w:rPr>
          <w:rFonts w:eastAsia="맑은 고딕"/>
          <w:noProof/>
          <w:lang w:eastAsia="ko-KR"/>
        </w:rPr>
        <w:t>Reference</w:t>
      </w:r>
    </w:p>
    <w:p w14:paraId="32D0B9D2" w14:textId="0D665FAF" w:rsidR="00D1409E" w:rsidRPr="00D1409E" w:rsidRDefault="00D4336C" w:rsidP="00D4336C">
      <w:pPr>
        <w:pStyle w:val="LGTdoc"/>
        <w:spacing w:line="240" w:lineRule="auto"/>
        <w:rPr>
          <w:rFonts w:eastAsia="맑은 고딕" w:cs="Arial"/>
          <w:lang w:val="en-US"/>
        </w:rPr>
      </w:pPr>
      <w:r>
        <w:rPr>
          <w:rFonts w:eastAsia="맑은 고딕" w:cs="Arial"/>
        </w:rPr>
        <w:t xml:space="preserve">[1] </w:t>
      </w:r>
      <w:r w:rsidR="00D1409E" w:rsidRPr="00D1409E">
        <w:rPr>
          <w:rFonts w:eastAsia="맑은 고딕" w:cs="Arial"/>
        </w:rPr>
        <w:t>RP-171093, “Revision of SI: Study on evaluation methodology of new V2X use cases for LTE and NR”, LG Electronics, 3GPP TSG RAN meeting #76.</w:t>
      </w:r>
    </w:p>
    <w:p w14:paraId="02295DDC" w14:textId="276CCF30" w:rsidR="00D4336C" w:rsidRDefault="00D1409E" w:rsidP="00D4336C">
      <w:pPr>
        <w:pStyle w:val="LGTdoc"/>
        <w:spacing w:line="240" w:lineRule="auto"/>
        <w:rPr>
          <w:rFonts w:eastAsia="맑은 고딕" w:cs="Arial"/>
        </w:rPr>
      </w:pPr>
      <w:r>
        <w:rPr>
          <w:rFonts w:eastAsia="맑은 고딕" w:hint="eastAsia"/>
          <w:lang w:val="en-US"/>
        </w:rPr>
        <w:t xml:space="preserve">[2] </w:t>
      </w:r>
      <w:r w:rsidR="001819BC">
        <w:rPr>
          <w:rFonts w:eastAsia="맑은 고딕" w:hint="eastAsia"/>
          <w:lang w:val="en-US"/>
        </w:rPr>
        <w:t>TR 36.843</w:t>
      </w:r>
      <w:r w:rsidR="0065253E" w:rsidRPr="0065253E">
        <w:rPr>
          <w:rFonts w:eastAsia="맑은 고딕" w:cs="Arial"/>
        </w:rPr>
        <w:t>, “</w:t>
      </w:r>
      <w:r w:rsidR="006F05AE" w:rsidRPr="006F05AE">
        <w:rPr>
          <w:rFonts w:eastAsia="맑은 고딕" w:cs="Arial"/>
        </w:rPr>
        <w:t>Study on LTE device to device proximity services; Radio aspects</w:t>
      </w:r>
    </w:p>
    <w:p w14:paraId="5AE8C9BD" w14:textId="04D61343" w:rsidR="006F05AE" w:rsidRDefault="00D1409E" w:rsidP="00D4336C">
      <w:pPr>
        <w:pStyle w:val="LGTdoc"/>
        <w:spacing w:line="240" w:lineRule="auto"/>
        <w:rPr>
          <w:rFonts w:eastAsia="맑은 고딕" w:cs="Arial"/>
        </w:rPr>
      </w:pPr>
      <w:r>
        <w:rPr>
          <w:rFonts w:eastAsia="맑은 고딕" w:cs="Arial" w:hint="eastAsia"/>
        </w:rPr>
        <w:t>[3</w:t>
      </w:r>
      <w:r w:rsidR="006F05AE">
        <w:rPr>
          <w:rFonts w:eastAsia="맑은 고딕" w:cs="Arial" w:hint="eastAsia"/>
        </w:rPr>
        <w:t xml:space="preserve">] TS 36.101, </w:t>
      </w:r>
      <w:r w:rsidR="006F05AE">
        <w:rPr>
          <w:rFonts w:eastAsia="맑은 고딕" w:cs="Arial"/>
        </w:rPr>
        <w:t>“</w:t>
      </w:r>
      <w:r w:rsidR="006F05AE" w:rsidRPr="006F05AE">
        <w:rPr>
          <w:rFonts w:eastAsia="맑은 고딕" w:cs="Arial"/>
        </w:rPr>
        <w:t>Evolved Universal Terrestrial Radio Access (E-UTRA); User Equipment (UE) radio transmission and reception</w:t>
      </w:r>
      <w:r w:rsidR="006F05AE">
        <w:rPr>
          <w:rFonts w:eastAsia="맑은 고딕" w:cs="Arial"/>
        </w:rPr>
        <w:t>”</w:t>
      </w:r>
    </w:p>
    <w:p w14:paraId="2F9046A1" w14:textId="3FEA1936" w:rsidR="006F05AE" w:rsidRDefault="00D1409E" w:rsidP="00D4336C">
      <w:pPr>
        <w:pStyle w:val="LGTdoc"/>
        <w:spacing w:line="240" w:lineRule="auto"/>
        <w:rPr>
          <w:rFonts w:eastAsia="맑은 고딕" w:cs="Arial"/>
        </w:rPr>
      </w:pPr>
      <w:r>
        <w:rPr>
          <w:rFonts w:eastAsia="맑은 고딕" w:cs="Arial" w:hint="eastAsia"/>
        </w:rPr>
        <w:t>[4</w:t>
      </w:r>
      <w:r w:rsidR="006F05AE">
        <w:rPr>
          <w:rFonts w:eastAsia="맑은 고딕" w:cs="Arial" w:hint="eastAsia"/>
        </w:rPr>
        <w:t xml:space="preserve">] TS 38.101-1, </w:t>
      </w:r>
      <w:r w:rsidR="006F05AE">
        <w:rPr>
          <w:rFonts w:eastAsia="맑은 고딕" w:cs="Arial"/>
        </w:rPr>
        <w:t>“</w:t>
      </w:r>
      <w:r w:rsidR="006F05AE" w:rsidRPr="006F05AE">
        <w:rPr>
          <w:rFonts w:eastAsia="맑은 고딕" w:cs="Arial"/>
        </w:rPr>
        <w:t>NR; User Equipment (UE) radio transmission and reception; Part 1: Range 1 Standalone</w:t>
      </w:r>
      <w:r w:rsidR="006F05AE">
        <w:rPr>
          <w:rFonts w:eastAsia="맑은 고딕" w:cs="Arial"/>
        </w:rPr>
        <w:t>”</w:t>
      </w:r>
    </w:p>
    <w:p w14:paraId="1A2B8225" w14:textId="639B0A24" w:rsidR="006F05AE" w:rsidRPr="006F05AE" w:rsidRDefault="00D1409E" w:rsidP="00D4336C">
      <w:pPr>
        <w:pStyle w:val="LGTdoc"/>
        <w:spacing w:line="240" w:lineRule="auto"/>
        <w:rPr>
          <w:rFonts w:eastAsia="맑은 고딕" w:cs="Arial"/>
          <w:lang w:val="en-US"/>
        </w:rPr>
      </w:pPr>
      <w:r>
        <w:rPr>
          <w:rFonts w:eastAsia="맑은 고딕" w:cs="Arial" w:hint="eastAsia"/>
        </w:rPr>
        <w:t>[5</w:t>
      </w:r>
      <w:r w:rsidR="006F05AE">
        <w:rPr>
          <w:rFonts w:eastAsia="맑은 고딕" w:cs="Arial" w:hint="eastAsia"/>
        </w:rPr>
        <w:t xml:space="preserve">] TS 38.101-2, </w:t>
      </w:r>
      <w:r w:rsidR="006F05AE">
        <w:rPr>
          <w:rFonts w:eastAsia="맑은 고딕" w:cs="Arial"/>
        </w:rPr>
        <w:t>“</w:t>
      </w:r>
      <w:r w:rsidR="006F05AE" w:rsidRPr="006F05AE">
        <w:rPr>
          <w:rFonts w:eastAsia="맑은 고딕" w:cs="Arial"/>
        </w:rPr>
        <w:t>NR; User Equipment (UE) radio transmission and recep</w:t>
      </w:r>
      <w:r w:rsidR="006F05AE">
        <w:rPr>
          <w:rFonts w:eastAsia="맑은 고딕" w:cs="Arial"/>
        </w:rPr>
        <w:t>tion; Part 2: Range 2 Standalon</w:t>
      </w:r>
      <w:r w:rsidR="000D64B5">
        <w:rPr>
          <w:rFonts w:eastAsia="맑은 고딕" w:cs="Arial" w:hint="eastAsia"/>
        </w:rPr>
        <w:t>e</w:t>
      </w:r>
      <w:r w:rsidR="006F05AE">
        <w:rPr>
          <w:rFonts w:eastAsia="맑은 고딕" w:cs="Arial"/>
        </w:rPr>
        <w:t>”</w:t>
      </w:r>
    </w:p>
    <w:p w14:paraId="3C4466B1" w14:textId="505AA101" w:rsidR="00D25805" w:rsidRPr="0065253E" w:rsidRDefault="00D25805" w:rsidP="0065253E">
      <w:pPr>
        <w:overflowPunct/>
        <w:autoSpaceDE/>
        <w:autoSpaceDN/>
        <w:adjustRightInd/>
        <w:spacing w:after="0"/>
        <w:jc w:val="left"/>
        <w:textAlignment w:val="auto"/>
        <w:rPr>
          <w:rFonts w:eastAsia="맑은 고딕" w:cs="Arial"/>
          <w:sz w:val="36"/>
          <w:szCs w:val="36"/>
          <w:lang w:val="en-US" w:eastAsia="ko-KR"/>
        </w:rPr>
      </w:pPr>
    </w:p>
    <w:sectPr w:rsidR="00D25805" w:rsidRPr="0065253E" w:rsidSect="0085683C">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B3786" w14:textId="77777777" w:rsidR="00B0742A" w:rsidRDefault="00B0742A" w:rsidP="00796430">
      <w:r>
        <w:separator/>
      </w:r>
    </w:p>
  </w:endnote>
  <w:endnote w:type="continuationSeparator" w:id="0">
    <w:p w14:paraId="5189EED1" w14:textId="77777777" w:rsidR="00B0742A" w:rsidRDefault="00B0742A"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2721F">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2721F">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D882C" w14:textId="77777777" w:rsidR="00B0742A" w:rsidRDefault="00B0742A" w:rsidP="00796430">
      <w:r>
        <w:separator/>
      </w:r>
    </w:p>
  </w:footnote>
  <w:footnote w:type="continuationSeparator" w:id="0">
    <w:p w14:paraId="594C57F2" w14:textId="77777777" w:rsidR="00B0742A" w:rsidRDefault="00B0742A"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8F75FA"/>
    <w:multiLevelType w:val="hybridMultilevel"/>
    <w:tmpl w:val="C85E57E0"/>
    <w:lvl w:ilvl="0" w:tplc="D13ECEB4">
      <w:start w:val="1"/>
      <w:numFmt w:val="decimal"/>
      <w:lvlText w:val="%1)"/>
      <w:lvlJc w:val="left"/>
      <w:pPr>
        <w:ind w:left="760" w:hanging="360"/>
      </w:pPr>
      <w:rPr>
        <w:rFonts w:hint="default"/>
        <w:b w:val="0"/>
      </w:rPr>
    </w:lvl>
    <w:lvl w:ilvl="1" w:tplc="04090001">
      <w:start w:val="1"/>
      <w:numFmt w:val="bullet"/>
      <w:lvlText w:val=""/>
      <w:lvlJc w:val="left"/>
      <w:pPr>
        <w:ind w:left="1200" w:hanging="400"/>
      </w:pPr>
      <w:rPr>
        <w:rFonts w:ascii="Symbol" w:hAnsi="Symbo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D9E5A4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32"/>
      </w:rPr>
    </w:lvl>
    <w:lvl w:ilvl="2">
      <w:start w:val="1"/>
      <w:numFmt w:val="decimal"/>
      <w:pStyle w:val="3"/>
      <w:lvlText w:val="%1.%2.%3"/>
      <w:lvlJc w:val="left"/>
      <w:pPr>
        <w:tabs>
          <w:tab w:val="num" w:pos="720"/>
        </w:tabs>
        <w:ind w:left="720" w:hanging="720"/>
      </w:pPr>
      <w:rPr>
        <w:rFonts w:hint="default"/>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0"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822AE3"/>
    <w:multiLevelType w:val="hybridMultilevel"/>
    <w:tmpl w:val="ABBAA728"/>
    <w:lvl w:ilvl="0" w:tplc="B09ABAD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99807BC"/>
    <w:multiLevelType w:val="hybridMultilevel"/>
    <w:tmpl w:val="D9985C76"/>
    <w:lvl w:ilvl="0" w:tplc="0809000F">
      <w:start w:val="1"/>
      <w:numFmt w:val="decimal"/>
      <w:lvlText w:val="%1."/>
      <w:lvlJc w:val="left"/>
      <w:pPr>
        <w:tabs>
          <w:tab w:val="num" w:pos="1440"/>
        </w:tabs>
        <w:ind w:left="144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197965"/>
    <w:multiLevelType w:val="hybridMultilevel"/>
    <w:tmpl w:val="BA668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7EA75E0"/>
    <w:multiLevelType w:val="hybridMultilevel"/>
    <w:tmpl w:val="C6A0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19619A"/>
    <w:multiLevelType w:val="hybridMultilevel"/>
    <w:tmpl w:val="25ACAF6C"/>
    <w:lvl w:ilvl="0" w:tplc="1BEA22E6">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25"/>
  </w:num>
  <w:num w:numId="3">
    <w:abstractNumId w:val="16"/>
  </w:num>
  <w:num w:numId="4">
    <w:abstractNumId w:val="18"/>
  </w:num>
  <w:num w:numId="5">
    <w:abstractNumId w:val="13"/>
  </w:num>
  <w:num w:numId="6">
    <w:abstractNumId w:val="21"/>
  </w:num>
  <w:num w:numId="7">
    <w:abstractNumId w:val="30"/>
  </w:num>
  <w:num w:numId="8">
    <w:abstractNumId w:val="14"/>
  </w:num>
  <w:num w:numId="9">
    <w:abstractNumId w:val="6"/>
  </w:num>
  <w:num w:numId="10">
    <w:abstractNumId w:val="15"/>
  </w:num>
  <w:num w:numId="11">
    <w:abstractNumId w:val="27"/>
  </w:num>
  <w:num w:numId="12">
    <w:abstractNumId w:val="22"/>
  </w:num>
  <w:num w:numId="13">
    <w:abstractNumId w:val="9"/>
  </w:num>
  <w:num w:numId="14">
    <w:abstractNumId w:val="31"/>
  </w:num>
  <w:num w:numId="15">
    <w:abstractNumId w:val="4"/>
  </w:num>
  <w:num w:numId="16">
    <w:abstractNumId w:val="11"/>
  </w:num>
  <w:num w:numId="17">
    <w:abstractNumId w:val="7"/>
  </w:num>
  <w:num w:numId="18">
    <w:abstractNumId w:val="26"/>
  </w:num>
  <w:num w:numId="19">
    <w:abstractNumId w:val="5"/>
  </w:num>
  <w:num w:numId="20">
    <w:abstractNumId w:val="23"/>
  </w:num>
  <w:num w:numId="21">
    <w:abstractNumId w:val="19"/>
  </w:num>
  <w:num w:numId="22">
    <w:abstractNumId w:val="10"/>
  </w:num>
  <w:num w:numId="23">
    <w:abstractNumId w:val="26"/>
  </w:num>
  <w:num w:numId="24">
    <w:abstractNumId w:val="5"/>
    <w:lvlOverride w:ilvl="0"/>
    <w:lvlOverride w:ilvl="1">
      <w:startOverride w:val="1"/>
    </w:lvlOverride>
    <w:lvlOverride w:ilvl="2"/>
    <w:lvlOverride w:ilvl="3"/>
    <w:lvlOverride w:ilvl="4"/>
    <w:lvlOverride w:ilvl="5"/>
    <w:lvlOverride w:ilvl="6"/>
    <w:lvlOverride w:ilvl="7"/>
    <w:lvlOverride w:ilvl="8"/>
  </w:num>
  <w:num w:numId="25">
    <w:abstractNumId w:val="17"/>
  </w:num>
  <w:num w:numId="26">
    <w:abstractNumId w:val="1"/>
  </w:num>
  <w:num w:numId="27">
    <w:abstractNumId w:val="28"/>
  </w:num>
  <w:num w:numId="28">
    <w:abstractNumId w:val="24"/>
  </w:num>
  <w:num w:numId="29">
    <w:abstractNumId w:val="20"/>
  </w:num>
  <w:num w:numId="30">
    <w:abstractNumId w:val="32"/>
  </w:num>
  <w:num w:numId="31">
    <w:abstractNumId w:val="2"/>
  </w:num>
  <w:num w:numId="32">
    <w:abstractNumId w:val="20"/>
  </w:num>
  <w:num w:numId="33">
    <w:abstractNumId w:val="24"/>
  </w:num>
  <w:num w:numId="34">
    <w:abstractNumId w:val="2"/>
  </w:num>
  <w:num w:numId="3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
  </w:num>
  <w:num w:numId="47">
    <w:abstractNumId w:val="8"/>
  </w:num>
  <w:num w:numId="48">
    <w:abstractNumId w:val="29"/>
  </w:num>
  <w:num w:numId="4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2776"/>
    <w:rsid w:val="00002F8A"/>
    <w:rsid w:val="000048B3"/>
    <w:rsid w:val="00004BC5"/>
    <w:rsid w:val="0000711C"/>
    <w:rsid w:val="000079FF"/>
    <w:rsid w:val="00007AEF"/>
    <w:rsid w:val="0001089D"/>
    <w:rsid w:val="00011BBC"/>
    <w:rsid w:val="00013804"/>
    <w:rsid w:val="00013A09"/>
    <w:rsid w:val="00013F1B"/>
    <w:rsid w:val="000149C6"/>
    <w:rsid w:val="00015ACB"/>
    <w:rsid w:val="00015C97"/>
    <w:rsid w:val="00016045"/>
    <w:rsid w:val="00016082"/>
    <w:rsid w:val="000168E2"/>
    <w:rsid w:val="0001715F"/>
    <w:rsid w:val="0001751F"/>
    <w:rsid w:val="00021259"/>
    <w:rsid w:val="00021568"/>
    <w:rsid w:val="00022EAC"/>
    <w:rsid w:val="000230BE"/>
    <w:rsid w:val="00025678"/>
    <w:rsid w:val="000258E5"/>
    <w:rsid w:val="00026957"/>
    <w:rsid w:val="00026C4A"/>
    <w:rsid w:val="0002769F"/>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4D3"/>
    <w:rsid w:val="00042FB6"/>
    <w:rsid w:val="00043526"/>
    <w:rsid w:val="00044CA1"/>
    <w:rsid w:val="00046783"/>
    <w:rsid w:val="00047006"/>
    <w:rsid w:val="000479DD"/>
    <w:rsid w:val="00047D40"/>
    <w:rsid w:val="00050AD9"/>
    <w:rsid w:val="000520C2"/>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F40"/>
    <w:rsid w:val="00093146"/>
    <w:rsid w:val="00093D79"/>
    <w:rsid w:val="00094093"/>
    <w:rsid w:val="00094310"/>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0CE"/>
    <w:rsid w:val="000B620B"/>
    <w:rsid w:val="000B626F"/>
    <w:rsid w:val="000B65F3"/>
    <w:rsid w:val="000B693E"/>
    <w:rsid w:val="000B7556"/>
    <w:rsid w:val="000C085C"/>
    <w:rsid w:val="000C0CE7"/>
    <w:rsid w:val="000C0F44"/>
    <w:rsid w:val="000C15B0"/>
    <w:rsid w:val="000C2F71"/>
    <w:rsid w:val="000C3041"/>
    <w:rsid w:val="000C35FC"/>
    <w:rsid w:val="000C3651"/>
    <w:rsid w:val="000C3DBD"/>
    <w:rsid w:val="000C3ED9"/>
    <w:rsid w:val="000C4506"/>
    <w:rsid w:val="000C54FC"/>
    <w:rsid w:val="000C6C10"/>
    <w:rsid w:val="000D1807"/>
    <w:rsid w:val="000D325D"/>
    <w:rsid w:val="000D3C05"/>
    <w:rsid w:val="000D4AC9"/>
    <w:rsid w:val="000D5D77"/>
    <w:rsid w:val="000D64B5"/>
    <w:rsid w:val="000D6ABD"/>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242"/>
    <w:rsid w:val="000E767F"/>
    <w:rsid w:val="000F1477"/>
    <w:rsid w:val="000F2CDD"/>
    <w:rsid w:val="000F426B"/>
    <w:rsid w:val="000F46B7"/>
    <w:rsid w:val="000F4847"/>
    <w:rsid w:val="000F61C9"/>
    <w:rsid w:val="000F65F0"/>
    <w:rsid w:val="000F6787"/>
    <w:rsid w:val="000F72B0"/>
    <w:rsid w:val="000F772F"/>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564D"/>
    <w:rsid w:val="00126143"/>
    <w:rsid w:val="00126E10"/>
    <w:rsid w:val="00126EEC"/>
    <w:rsid w:val="00127CCC"/>
    <w:rsid w:val="001300F9"/>
    <w:rsid w:val="00130657"/>
    <w:rsid w:val="00130E69"/>
    <w:rsid w:val="001310F2"/>
    <w:rsid w:val="001311FA"/>
    <w:rsid w:val="00131A51"/>
    <w:rsid w:val="00131E32"/>
    <w:rsid w:val="00132DA9"/>
    <w:rsid w:val="00134313"/>
    <w:rsid w:val="0013456D"/>
    <w:rsid w:val="00135BA3"/>
    <w:rsid w:val="00136E67"/>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01B"/>
    <w:rsid w:val="001562DA"/>
    <w:rsid w:val="00156D4D"/>
    <w:rsid w:val="00160682"/>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43B"/>
    <w:rsid w:val="001738EF"/>
    <w:rsid w:val="00174F49"/>
    <w:rsid w:val="0017510C"/>
    <w:rsid w:val="00175259"/>
    <w:rsid w:val="00175BCA"/>
    <w:rsid w:val="0018019C"/>
    <w:rsid w:val="001819BC"/>
    <w:rsid w:val="00181AD2"/>
    <w:rsid w:val="00182A71"/>
    <w:rsid w:val="00182F62"/>
    <w:rsid w:val="00183A05"/>
    <w:rsid w:val="0018472F"/>
    <w:rsid w:val="001848D6"/>
    <w:rsid w:val="00184F83"/>
    <w:rsid w:val="00186712"/>
    <w:rsid w:val="0018777D"/>
    <w:rsid w:val="001905DD"/>
    <w:rsid w:val="00190A3F"/>
    <w:rsid w:val="00191466"/>
    <w:rsid w:val="00191EBA"/>
    <w:rsid w:val="001939F8"/>
    <w:rsid w:val="00194D3E"/>
    <w:rsid w:val="00194EA5"/>
    <w:rsid w:val="0019550D"/>
    <w:rsid w:val="001956DF"/>
    <w:rsid w:val="001964B0"/>
    <w:rsid w:val="00196BA5"/>
    <w:rsid w:val="001A011D"/>
    <w:rsid w:val="001A040E"/>
    <w:rsid w:val="001A060A"/>
    <w:rsid w:val="001A0891"/>
    <w:rsid w:val="001A1EAC"/>
    <w:rsid w:val="001A2237"/>
    <w:rsid w:val="001A3E86"/>
    <w:rsid w:val="001A4167"/>
    <w:rsid w:val="001A4DEE"/>
    <w:rsid w:val="001A51B0"/>
    <w:rsid w:val="001A56A6"/>
    <w:rsid w:val="001A5FED"/>
    <w:rsid w:val="001A7B00"/>
    <w:rsid w:val="001B1C62"/>
    <w:rsid w:val="001B204F"/>
    <w:rsid w:val="001B20BD"/>
    <w:rsid w:val="001B2430"/>
    <w:rsid w:val="001B2FAF"/>
    <w:rsid w:val="001B440E"/>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16E4"/>
    <w:rsid w:val="001D23AA"/>
    <w:rsid w:val="001D293B"/>
    <w:rsid w:val="001D3164"/>
    <w:rsid w:val="001D3183"/>
    <w:rsid w:val="001D3228"/>
    <w:rsid w:val="001D4844"/>
    <w:rsid w:val="001D5197"/>
    <w:rsid w:val="001D5559"/>
    <w:rsid w:val="001D5A45"/>
    <w:rsid w:val="001D6041"/>
    <w:rsid w:val="001D667A"/>
    <w:rsid w:val="001D6959"/>
    <w:rsid w:val="001D7345"/>
    <w:rsid w:val="001D7B73"/>
    <w:rsid w:val="001E17B0"/>
    <w:rsid w:val="001E18F6"/>
    <w:rsid w:val="001E3318"/>
    <w:rsid w:val="001E38BC"/>
    <w:rsid w:val="001E64A6"/>
    <w:rsid w:val="001E67FB"/>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45E8"/>
    <w:rsid w:val="0022526F"/>
    <w:rsid w:val="00225677"/>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7B6"/>
    <w:rsid w:val="00234BF3"/>
    <w:rsid w:val="0023589E"/>
    <w:rsid w:val="00235DBF"/>
    <w:rsid w:val="00236A44"/>
    <w:rsid w:val="0023748D"/>
    <w:rsid w:val="00237ACD"/>
    <w:rsid w:val="00240450"/>
    <w:rsid w:val="00240B18"/>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44E"/>
    <w:rsid w:val="00263A16"/>
    <w:rsid w:val="00264124"/>
    <w:rsid w:val="002644AC"/>
    <w:rsid w:val="002648F6"/>
    <w:rsid w:val="00264A0B"/>
    <w:rsid w:val="00264B39"/>
    <w:rsid w:val="00265127"/>
    <w:rsid w:val="0026596A"/>
    <w:rsid w:val="00266700"/>
    <w:rsid w:val="00266DC7"/>
    <w:rsid w:val="00266ED1"/>
    <w:rsid w:val="00270EBB"/>
    <w:rsid w:val="002715FC"/>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CA"/>
    <w:rsid w:val="00285CBD"/>
    <w:rsid w:val="0028660B"/>
    <w:rsid w:val="00287251"/>
    <w:rsid w:val="002874FF"/>
    <w:rsid w:val="00287748"/>
    <w:rsid w:val="00287D0D"/>
    <w:rsid w:val="002916DA"/>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3FD"/>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068"/>
    <w:rsid w:val="002E08C4"/>
    <w:rsid w:val="002E0E2A"/>
    <w:rsid w:val="002E1902"/>
    <w:rsid w:val="002E193F"/>
    <w:rsid w:val="002E1A53"/>
    <w:rsid w:val="002E1D06"/>
    <w:rsid w:val="002E2241"/>
    <w:rsid w:val="002E3067"/>
    <w:rsid w:val="002E3576"/>
    <w:rsid w:val="002E40C3"/>
    <w:rsid w:val="002E4C8D"/>
    <w:rsid w:val="002E501E"/>
    <w:rsid w:val="002E50E5"/>
    <w:rsid w:val="002E5B15"/>
    <w:rsid w:val="002E683B"/>
    <w:rsid w:val="002E6B99"/>
    <w:rsid w:val="002E6BB6"/>
    <w:rsid w:val="002E7353"/>
    <w:rsid w:val="002E75BE"/>
    <w:rsid w:val="002E78F8"/>
    <w:rsid w:val="002F057D"/>
    <w:rsid w:val="002F0FB3"/>
    <w:rsid w:val="002F14B5"/>
    <w:rsid w:val="002F1811"/>
    <w:rsid w:val="002F24BE"/>
    <w:rsid w:val="002F4578"/>
    <w:rsid w:val="002F5891"/>
    <w:rsid w:val="00302082"/>
    <w:rsid w:val="00302720"/>
    <w:rsid w:val="00302BE1"/>
    <w:rsid w:val="00303009"/>
    <w:rsid w:val="00303A9B"/>
    <w:rsid w:val="00303F01"/>
    <w:rsid w:val="003042C4"/>
    <w:rsid w:val="003047A5"/>
    <w:rsid w:val="00304BF2"/>
    <w:rsid w:val="00305556"/>
    <w:rsid w:val="00305BE4"/>
    <w:rsid w:val="00306894"/>
    <w:rsid w:val="003070BA"/>
    <w:rsid w:val="00307987"/>
    <w:rsid w:val="00307C2F"/>
    <w:rsid w:val="003110E8"/>
    <w:rsid w:val="003115B1"/>
    <w:rsid w:val="00312A09"/>
    <w:rsid w:val="00312DE9"/>
    <w:rsid w:val="00313982"/>
    <w:rsid w:val="00314C2F"/>
    <w:rsid w:val="00314CF5"/>
    <w:rsid w:val="003166A6"/>
    <w:rsid w:val="003168AA"/>
    <w:rsid w:val="00316EB8"/>
    <w:rsid w:val="00316ED6"/>
    <w:rsid w:val="00317A20"/>
    <w:rsid w:val="00317E1A"/>
    <w:rsid w:val="0032004A"/>
    <w:rsid w:val="003224CE"/>
    <w:rsid w:val="003225AD"/>
    <w:rsid w:val="003244F2"/>
    <w:rsid w:val="00324B5E"/>
    <w:rsid w:val="003254BC"/>
    <w:rsid w:val="00325AA6"/>
    <w:rsid w:val="00325FB9"/>
    <w:rsid w:val="0032665E"/>
    <w:rsid w:val="003266A1"/>
    <w:rsid w:val="00326B33"/>
    <w:rsid w:val="003279D7"/>
    <w:rsid w:val="003307DB"/>
    <w:rsid w:val="00330923"/>
    <w:rsid w:val="00330BB2"/>
    <w:rsid w:val="0033121D"/>
    <w:rsid w:val="00332388"/>
    <w:rsid w:val="00333486"/>
    <w:rsid w:val="00334169"/>
    <w:rsid w:val="00334F3D"/>
    <w:rsid w:val="00335214"/>
    <w:rsid w:val="00337C1C"/>
    <w:rsid w:val="0034009B"/>
    <w:rsid w:val="00340630"/>
    <w:rsid w:val="00342212"/>
    <w:rsid w:val="00342527"/>
    <w:rsid w:val="0034252B"/>
    <w:rsid w:val="003429FF"/>
    <w:rsid w:val="00342FDE"/>
    <w:rsid w:val="003430AF"/>
    <w:rsid w:val="0034504C"/>
    <w:rsid w:val="00346C03"/>
    <w:rsid w:val="003472F6"/>
    <w:rsid w:val="003479E5"/>
    <w:rsid w:val="00347EAE"/>
    <w:rsid w:val="00350151"/>
    <w:rsid w:val="00350382"/>
    <w:rsid w:val="003506E3"/>
    <w:rsid w:val="00350C28"/>
    <w:rsid w:val="00351126"/>
    <w:rsid w:val="003513FD"/>
    <w:rsid w:val="00352AD8"/>
    <w:rsid w:val="00352BAC"/>
    <w:rsid w:val="00352F2D"/>
    <w:rsid w:val="00356283"/>
    <w:rsid w:val="00357E7A"/>
    <w:rsid w:val="003602C0"/>
    <w:rsid w:val="00360EB6"/>
    <w:rsid w:val="00361AC3"/>
    <w:rsid w:val="00362391"/>
    <w:rsid w:val="00362529"/>
    <w:rsid w:val="003644F6"/>
    <w:rsid w:val="00364538"/>
    <w:rsid w:val="00364542"/>
    <w:rsid w:val="00364C9C"/>
    <w:rsid w:val="00365E2F"/>
    <w:rsid w:val="00366595"/>
    <w:rsid w:val="00367D83"/>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87EC8"/>
    <w:rsid w:val="0039050D"/>
    <w:rsid w:val="0039142D"/>
    <w:rsid w:val="00391990"/>
    <w:rsid w:val="00391F67"/>
    <w:rsid w:val="00391F97"/>
    <w:rsid w:val="0039376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780"/>
    <w:rsid w:val="003B3CFC"/>
    <w:rsid w:val="003B4F52"/>
    <w:rsid w:val="003B5769"/>
    <w:rsid w:val="003B79F5"/>
    <w:rsid w:val="003B7F25"/>
    <w:rsid w:val="003C11EF"/>
    <w:rsid w:val="003C213E"/>
    <w:rsid w:val="003C289D"/>
    <w:rsid w:val="003C35A2"/>
    <w:rsid w:val="003C486A"/>
    <w:rsid w:val="003C4E73"/>
    <w:rsid w:val="003C5AF2"/>
    <w:rsid w:val="003D0106"/>
    <w:rsid w:val="003D1F49"/>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10"/>
    <w:rsid w:val="003F0EFF"/>
    <w:rsid w:val="003F30B4"/>
    <w:rsid w:val="003F39D3"/>
    <w:rsid w:val="003F4A1D"/>
    <w:rsid w:val="003F4ABB"/>
    <w:rsid w:val="003F5815"/>
    <w:rsid w:val="003F7552"/>
    <w:rsid w:val="003F7BF5"/>
    <w:rsid w:val="00400F05"/>
    <w:rsid w:val="00401146"/>
    <w:rsid w:val="004012A0"/>
    <w:rsid w:val="00401686"/>
    <w:rsid w:val="0040198D"/>
    <w:rsid w:val="0040276B"/>
    <w:rsid w:val="004034D5"/>
    <w:rsid w:val="00403E96"/>
    <w:rsid w:val="004041C9"/>
    <w:rsid w:val="00404319"/>
    <w:rsid w:val="00404808"/>
    <w:rsid w:val="00404EB0"/>
    <w:rsid w:val="00404FC1"/>
    <w:rsid w:val="004054CB"/>
    <w:rsid w:val="00405523"/>
    <w:rsid w:val="0040582F"/>
    <w:rsid w:val="00405A0E"/>
    <w:rsid w:val="00405E9C"/>
    <w:rsid w:val="00406BA6"/>
    <w:rsid w:val="00406CB4"/>
    <w:rsid w:val="0040731A"/>
    <w:rsid w:val="00410E63"/>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EF8"/>
    <w:rsid w:val="00426FCB"/>
    <w:rsid w:val="00427B5F"/>
    <w:rsid w:val="00427FC7"/>
    <w:rsid w:val="00431692"/>
    <w:rsid w:val="00431DDC"/>
    <w:rsid w:val="004331A9"/>
    <w:rsid w:val="00433588"/>
    <w:rsid w:val="00433BA8"/>
    <w:rsid w:val="00433F3E"/>
    <w:rsid w:val="00435924"/>
    <w:rsid w:val="00435B30"/>
    <w:rsid w:val="00437C0F"/>
    <w:rsid w:val="00440943"/>
    <w:rsid w:val="004413BD"/>
    <w:rsid w:val="00442373"/>
    <w:rsid w:val="00442D53"/>
    <w:rsid w:val="004438F8"/>
    <w:rsid w:val="00444912"/>
    <w:rsid w:val="00444CDB"/>
    <w:rsid w:val="004450A7"/>
    <w:rsid w:val="00445EE6"/>
    <w:rsid w:val="00446258"/>
    <w:rsid w:val="004466FA"/>
    <w:rsid w:val="00446971"/>
    <w:rsid w:val="00446E61"/>
    <w:rsid w:val="00447033"/>
    <w:rsid w:val="00447D35"/>
    <w:rsid w:val="004522A3"/>
    <w:rsid w:val="00452973"/>
    <w:rsid w:val="0045397C"/>
    <w:rsid w:val="00453A39"/>
    <w:rsid w:val="00454262"/>
    <w:rsid w:val="00454D7C"/>
    <w:rsid w:val="004557E5"/>
    <w:rsid w:val="00456091"/>
    <w:rsid w:val="0045667F"/>
    <w:rsid w:val="00456C5B"/>
    <w:rsid w:val="00457456"/>
    <w:rsid w:val="00457486"/>
    <w:rsid w:val="00460687"/>
    <w:rsid w:val="0046086C"/>
    <w:rsid w:val="00460907"/>
    <w:rsid w:val="00460D35"/>
    <w:rsid w:val="004617E5"/>
    <w:rsid w:val="00461D8E"/>
    <w:rsid w:val="00463E20"/>
    <w:rsid w:val="004646FB"/>
    <w:rsid w:val="00465D75"/>
    <w:rsid w:val="00466E00"/>
    <w:rsid w:val="00466F8F"/>
    <w:rsid w:val="004670AD"/>
    <w:rsid w:val="0046773D"/>
    <w:rsid w:val="004679F3"/>
    <w:rsid w:val="00467B66"/>
    <w:rsid w:val="00467EF3"/>
    <w:rsid w:val="00471F2A"/>
    <w:rsid w:val="004731D4"/>
    <w:rsid w:val="00473665"/>
    <w:rsid w:val="00473693"/>
    <w:rsid w:val="00473C91"/>
    <w:rsid w:val="00473D2E"/>
    <w:rsid w:val="00473EEF"/>
    <w:rsid w:val="004741E1"/>
    <w:rsid w:val="00474393"/>
    <w:rsid w:val="00474F35"/>
    <w:rsid w:val="0047543F"/>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45A"/>
    <w:rsid w:val="00483D69"/>
    <w:rsid w:val="004844E1"/>
    <w:rsid w:val="00484639"/>
    <w:rsid w:val="004848DA"/>
    <w:rsid w:val="004856BA"/>
    <w:rsid w:val="00485C11"/>
    <w:rsid w:val="00486341"/>
    <w:rsid w:val="004864D5"/>
    <w:rsid w:val="00487951"/>
    <w:rsid w:val="0049125E"/>
    <w:rsid w:val="00492246"/>
    <w:rsid w:val="00492FF3"/>
    <w:rsid w:val="00493522"/>
    <w:rsid w:val="00494A5C"/>
    <w:rsid w:val="00495679"/>
    <w:rsid w:val="00495EA8"/>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6F57"/>
    <w:rsid w:val="004A73CD"/>
    <w:rsid w:val="004A74F3"/>
    <w:rsid w:val="004A7C55"/>
    <w:rsid w:val="004A7C69"/>
    <w:rsid w:val="004A7F05"/>
    <w:rsid w:val="004B14BA"/>
    <w:rsid w:val="004B2544"/>
    <w:rsid w:val="004B3303"/>
    <w:rsid w:val="004B3CC8"/>
    <w:rsid w:val="004B4366"/>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C7F5E"/>
    <w:rsid w:val="004D04C2"/>
    <w:rsid w:val="004D0FC6"/>
    <w:rsid w:val="004D23F0"/>
    <w:rsid w:val="004D2C32"/>
    <w:rsid w:val="004D3BAA"/>
    <w:rsid w:val="004D4B20"/>
    <w:rsid w:val="004D4B21"/>
    <w:rsid w:val="004D4F3E"/>
    <w:rsid w:val="004D5733"/>
    <w:rsid w:val="004D5B8A"/>
    <w:rsid w:val="004D72C7"/>
    <w:rsid w:val="004E009C"/>
    <w:rsid w:val="004E0EB5"/>
    <w:rsid w:val="004E1E8C"/>
    <w:rsid w:val="004E2ACA"/>
    <w:rsid w:val="004E3108"/>
    <w:rsid w:val="004E3CBB"/>
    <w:rsid w:val="004E3E54"/>
    <w:rsid w:val="004E53AA"/>
    <w:rsid w:val="004E5412"/>
    <w:rsid w:val="004E5BD2"/>
    <w:rsid w:val="004E5D4D"/>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B03"/>
    <w:rsid w:val="00504E89"/>
    <w:rsid w:val="005065E6"/>
    <w:rsid w:val="005066BC"/>
    <w:rsid w:val="00506B0D"/>
    <w:rsid w:val="00507CE1"/>
    <w:rsid w:val="00510668"/>
    <w:rsid w:val="00510A77"/>
    <w:rsid w:val="00510F3E"/>
    <w:rsid w:val="0051130B"/>
    <w:rsid w:val="00511388"/>
    <w:rsid w:val="00511C94"/>
    <w:rsid w:val="00511EE5"/>
    <w:rsid w:val="00512DFB"/>
    <w:rsid w:val="00514999"/>
    <w:rsid w:val="0051526F"/>
    <w:rsid w:val="00515FEB"/>
    <w:rsid w:val="005161AA"/>
    <w:rsid w:val="005167E7"/>
    <w:rsid w:val="00517654"/>
    <w:rsid w:val="00517A57"/>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59F7"/>
    <w:rsid w:val="005365C0"/>
    <w:rsid w:val="00536D7D"/>
    <w:rsid w:val="00536E41"/>
    <w:rsid w:val="0053717F"/>
    <w:rsid w:val="0054021F"/>
    <w:rsid w:val="00540A2D"/>
    <w:rsid w:val="00540B58"/>
    <w:rsid w:val="0054173C"/>
    <w:rsid w:val="00541C2B"/>
    <w:rsid w:val="00541DC2"/>
    <w:rsid w:val="00542F1C"/>
    <w:rsid w:val="0054325F"/>
    <w:rsid w:val="00543EFB"/>
    <w:rsid w:val="00543F4F"/>
    <w:rsid w:val="0054474C"/>
    <w:rsid w:val="00544C4B"/>
    <w:rsid w:val="00545564"/>
    <w:rsid w:val="0054684D"/>
    <w:rsid w:val="005477EB"/>
    <w:rsid w:val="00551304"/>
    <w:rsid w:val="00551576"/>
    <w:rsid w:val="00551C2B"/>
    <w:rsid w:val="00552750"/>
    <w:rsid w:val="005527A7"/>
    <w:rsid w:val="005529D0"/>
    <w:rsid w:val="00553538"/>
    <w:rsid w:val="00553C62"/>
    <w:rsid w:val="005560D7"/>
    <w:rsid w:val="0055762A"/>
    <w:rsid w:val="00560844"/>
    <w:rsid w:val="00560909"/>
    <w:rsid w:val="00560A90"/>
    <w:rsid w:val="00561591"/>
    <w:rsid w:val="005617CD"/>
    <w:rsid w:val="00561920"/>
    <w:rsid w:val="005621F5"/>
    <w:rsid w:val="00562D95"/>
    <w:rsid w:val="00562DE0"/>
    <w:rsid w:val="0056337A"/>
    <w:rsid w:val="0056344F"/>
    <w:rsid w:val="00564127"/>
    <w:rsid w:val="005654C4"/>
    <w:rsid w:val="00565B1B"/>
    <w:rsid w:val="00565CFA"/>
    <w:rsid w:val="00565D58"/>
    <w:rsid w:val="00566101"/>
    <w:rsid w:val="0056625F"/>
    <w:rsid w:val="00567097"/>
    <w:rsid w:val="00567135"/>
    <w:rsid w:val="0056753B"/>
    <w:rsid w:val="005700B5"/>
    <w:rsid w:val="00571640"/>
    <w:rsid w:val="00571C91"/>
    <w:rsid w:val="00572CCB"/>
    <w:rsid w:val="00572D0E"/>
    <w:rsid w:val="005731E3"/>
    <w:rsid w:val="00573D2E"/>
    <w:rsid w:val="0057405B"/>
    <w:rsid w:val="00574577"/>
    <w:rsid w:val="0057565A"/>
    <w:rsid w:val="005759ED"/>
    <w:rsid w:val="00577440"/>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4FE"/>
    <w:rsid w:val="0058658A"/>
    <w:rsid w:val="005904D7"/>
    <w:rsid w:val="00590604"/>
    <w:rsid w:val="0059095E"/>
    <w:rsid w:val="005913DA"/>
    <w:rsid w:val="00592508"/>
    <w:rsid w:val="00592F64"/>
    <w:rsid w:val="00593925"/>
    <w:rsid w:val="00593AE4"/>
    <w:rsid w:val="00593AF9"/>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067B"/>
    <w:rsid w:val="005C21AF"/>
    <w:rsid w:val="005C29CC"/>
    <w:rsid w:val="005C309D"/>
    <w:rsid w:val="005C38EF"/>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0CDE"/>
    <w:rsid w:val="005F1EB7"/>
    <w:rsid w:val="005F20CD"/>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496C"/>
    <w:rsid w:val="0061558A"/>
    <w:rsid w:val="00615B7A"/>
    <w:rsid w:val="006167A7"/>
    <w:rsid w:val="00617115"/>
    <w:rsid w:val="00617210"/>
    <w:rsid w:val="006172D4"/>
    <w:rsid w:val="00617EEA"/>
    <w:rsid w:val="00620133"/>
    <w:rsid w:val="006201C2"/>
    <w:rsid w:val="006209B5"/>
    <w:rsid w:val="00622ACE"/>
    <w:rsid w:val="00623015"/>
    <w:rsid w:val="006238F7"/>
    <w:rsid w:val="00624A8E"/>
    <w:rsid w:val="00624B56"/>
    <w:rsid w:val="00625907"/>
    <w:rsid w:val="00625BEC"/>
    <w:rsid w:val="00632AE5"/>
    <w:rsid w:val="00633DA8"/>
    <w:rsid w:val="00634032"/>
    <w:rsid w:val="00634067"/>
    <w:rsid w:val="0063481E"/>
    <w:rsid w:val="00635CEF"/>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1E7E"/>
    <w:rsid w:val="0065253E"/>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76C89"/>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283"/>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A6ECE"/>
    <w:rsid w:val="006B05AF"/>
    <w:rsid w:val="006B0BE9"/>
    <w:rsid w:val="006B192D"/>
    <w:rsid w:val="006B2338"/>
    <w:rsid w:val="006B236C"/>
    <w:rsid w:val="006B2689"/>
    <w:rsid w:val="006B2907"/>
    <w:rsid w:val="006B3609"/>
    <w:rsid w:val="006B3E13"/>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6EFA"/>
    <w:rsid w:val="006D73D6"/>
    <w:rsid w:val="006D7427"/>
    <w:rsid w:val="006E0930"/>
    <w:rsid w:val="006E1210"/>
    <w:rsid w:val="006E2B09"/>
    <w:rsid w:val="006E306F"/>
    <w:rsid w:val="006E435A"/>
    <w:rsid w:val="006E656B"/>
    <w:rsid w:val="006E6C00"/>
    <w:rsid w:val="006F010C"/>
    <w:rsid w:val="006F05AE"/>
    <w:rsid w:val="006F0FCE"/>
    <w:rsid w:val="006F1804"/>
    <w:rsid w:val="006F2242"/>
    <w:rsid w:val="006F24A7"/>
    <w:rsid w:val="006F273A"/>
    <w:rsid w:val="006F2AEA"/>
    <w:rsid w:val="006F3BA6"/>
    <w:rsid w:val="006F4495"/>
    <w:rsid w:val="006F5562"/>
    <w:rsid w:val="006F5A1F"/>
    <w:rsid w:val="006F5D8B"/>
    <w:rsid w:val="006F64B2"/>
    <w:rsid w:val="006F65E3"/>
    <w:rsid w:val="006F6E95"/>
    <w:rsid w:val="006F6F08"/>
    <w:rsid w:val="00700938"/>
    <w:rsid w:val="0070148B"/>
    <w:rsid w:val="00701D4F"/>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179A3"/>
    <w:rsid w:val="007206BF"/>
    <w:rsid w:val="007217EB"/>
    <w:rsid w:val="00721C04"/>
    <w:rsid w:val="00721D45"/>
    <w:rsid w:val="00721F27"/>
    <w:rsid w:val="00722F11"/>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4C34"/>
    <w:rsid w:val="007358E5"/>
    <w:rsid w:val="00735F5D"/>
    <w:rsid w:val="00736339"/>
    <w:rsid w:val="00737592"/>
    <w:rsid w:val="00737B1E"/>
    <w:rsid w:val="00740AF3"/>
    <w:rsid w:val="0074158D"/>
    <w:rsid w:val="00741936"/>
    <w:rsid w:val="00741DF9"/>
    <w:rsid w:val="00743BE2"/>
    <w:rsid w:val="0074419D"/>
    <w:rsid w:val="007454A9"/>
    <w:rsid w:val="00745B87"/>
    <w:rsid w:val="00745EB6"/>
    <w:rsid w:val="00750CBC"/>
    <w:rsid w:val="00754444"/>
    <w:rsid w:val="00754995"/>
    <w:rsid w:val="00755541"/>
    <w:rsid w:val="0075575C"/>
    <w:rsid w:val="007562EB"/>
    <w:rsid w:val="007572CA"/>
    <w:rsid w:val="007573F6"/>
    <w:rsid w:val="00757432"/>
    <w:rsid w:val="00762207"/>
    <w:rsid w:val="00763E42"/>
    <w:rsid w:val="007657EE"/>
    <w:rsid w:val="00765AD2"/>
    <w:rsid w:val="00766365"/>
    <w:rsid w:val="00766394"/>
    <w:rsid w:val="0076794D"/>
    <w:rsid w:val="00770853"/>
    <w:rsid w:val="00770ADC"/>
    <w:rsid w:val="00770B33"/>
    <w:rsid w:val="00770CC5"/>
    <w:rsid w:val="00770DCE"/>
    <w:rsid w:val="00772122"/>
    <w:rsid w:val="00772B2C"/>
    <w:rsid w:val="00773992"/>
    <w:rsid w:val="007746E9"/>
    <w:rsid w:val="00774A5F"/>
    <w:rsid w:val="00774AEC"/>
    <w:rsid w:val="0077523F"/>
    <w:rsid w:val="00775BF5"/>
    <w:rsid w:val="00775F29"/>
    <w:rsid w:val="00776CEA"/>
    <w:rsid w:val="00776E46"/>
    <w:rsid w:val="0077722C"/>
    <w:rsid w:val="00777A71"/>
    <w:rsid w:val="00777F5A"/>
    <w:rsid w:val="007810D8"/>
    <w:rsid w:val="00781F95"/>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5505"/>
    <w:rsid w:val="007A5D2C"/>
    <w:rsid w:val="007A6DA3"/>
    <w:rsid w:val="007A75F5"/>
    <w:rsid w:val="007B09B6"/>
    <w:rsid w:val="007B1ACA"/>
    <w:rsid w:val="007B2492"/>
    <w:rsid w:val="007B2CC0"/>
    <w:rsid w:val="007B30B8"/>
    <w:rsid w:val="007B3A4B"/>
    <w:rsid w:val="007B4294"/>
    <w:rsid w:val="007B479C"/>
    <w:rsid w:val="007B48D1"/>
    <w:rsid w:val="007B553E"/>
    <w:rsid w:val="007B6F54"/>
    <w:rsid w:val="007B70FA"/>
    <w:rsid w:val="007B73F2"/>
    <w:rsid w:val="007B7693"/>
    <w:rsid w:val="007C1AA4"/>
    <w:rsid w:val="007C34DB"/>
    <w:rsid w:val="007C53BE"/>
    <w:rsid w:val="007C7D47"/>
    <w:rsid w:val="007D0395"/>
    <w:rsid w:val="007D12D6"/>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2848"/>
    <w:rsid w:val="007E3C7C"/>
    <w:rsid w:val="007E438A"/>
    <w:rsid w:val="007E46D5"/>
    <w:rsid w:val="007E5BDC"/>
    <w:rsid w:val="007E6876"/>
    <w:rsid w:val="007E6A27"/>
    <w:rsid w:val="007E6BAA"/>
    <w:rsid w:val="007E79AC"/>
    <w:rsid w:val="007F049B"/>
    <w:rsid w:val="007F0A76"/>
    <w:rsid w:val="007F18EE"/>
    <w:rsid w:val="007F1AA4"/>
    <w:rsid w:val="007F2F75"/>
    <w:rsid w:val="007F3179"/>
    <w:rsid w:val="007F3A87"/>
    <w:rsid w:val="007F3A9B"/>
    <w:rsid w:val="007F48A4"/>
    <w:rsid w:val="007F4FE8"/>
    <w:rsid w:val="007F540B"/>
    <w:rsid w:val="007F67B4"/>
    <w:rsid w:val="007F7159"/>
    <w:rsid w:val="007F71A1"/>
    <w:rsid w:val="008012CE"/>
    <w:rsid w:val="00801D45"/>
    <w:rsid w:val="00801F57"/>
    <w:rsid w:val="00802E65"/>
    <w:rsid w:val="008033F7"/>
    <w:rsid w:val="008053F9"/>
    <w:rsid w:val="00805951"/>
    <w:rsid w:val="00806078"/>
    <w:rsid w:val="00806A9F"/>
    <w:rsid w:val="008100C6"/>
    <w:rsid w:val="008100F1"/>
    <w:rsid w:val="00811400"/>
    <w:rsid w:val="0081155E"/>
    <w:rsid w:val="008117DF"/>
    <w:rsid w:val="008123DA"/>
    <w:rsid w:val="00812756"/>
    <w:rsid w:val="00812EE1"/>
    <w:rsid w:val="00813BC9"/>
    <w:rsid w:val="008153AE"/>
    <w:rsid w:val="008155C9"/>
    <w:rsid w:val="008159E7"/>
    <w:rsid w:val="00815DC2"/>
    <w:rsid w:val="00821702"/>
    <w:rsid w:val="00822912"/>
    <w:rsid w:val="0082384A"/>
    <w:rsid w:val="008242BE"/>
    <w:rsid w:val="00825701"/>
    <w:rsid w:val="00825A5E"/>
    <w:rsid w:val="00826457"/>
    <w:rsid w:val="008269DD"/>
    <w:rsid w:val="00827790"/>
    <w:rsid w:val="008303EC"/>
    <w:rsid w:val="00830644"/>
    <w:rsid w:val="008317D7"/>
    <w:rsid w:val="0083247E"/>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208D"/>
    <w:rsid w:val="00842DE6"/>
    <w:rsid w:val="0084381E"/>
    <w:rsid w:val="008438B3"/>
    <w:rsid w:val="00844E8D"/>
    <w:rsid w:val="00845013"/>
    <w:rsid w:val="0084546B"/>
    <w:rsid w:val="008461A4"/>
    <w:rsid w:val="008463A3"/>
    <w:rsid w:val="0084707F"/>
    <w:rsid w:val="00850898"/>
    <w:rsid w:val="00850C4D"/>
    <w:rsid w:val="00851CF9"/>
    <w:rsid w:val="00851EE5"/>
    <w:rsid w:val="00852960"/>
    <w:rsid w:val="00852987"/>
    <w:rsid w:val="00853132"/>
    <w:rsid w:val="00853BFB"/>
    <w:rsid w:val="00855768"/>
    <w:rsid w:val="0085683C"/>
    <w:rsid w:val="008572B6"/>
    <w:rsid w:val="0085757F"/>
    <w:rsid w:val="00857CF5"/>
    <w:rsid w:val="00860475"/>
    <w:rsid w:val="008605B0"/>
    <w:rsid w:val="00863D03"/>
    <w:rsid w:val="008644CE"/>
    <w:rsid w:val="008649B1"/>
    <w:rsid w:val="0086576D"/>
    <w:rsid w:val="0086612F"/>
    <w:rsid w:val="00866920"/>
    <w:rsid w:val="008671AA"/>
    <w:rsid w:val="00867361"/>
    <w:rsid w:val="00871342"/>
    <w:rsid w:val="008716FA"/>
    <w:rsid w:val="00871834"/>
    <w:rsid w:val="0087313F"/>
    <w:rsid w:val="00873179"/>
    <w:rsid w:val="008741D1"/>
    <w:rsid w:val="00874A22"/>
    <w:rsid w:val="00874A31"/>
    <w:rsid w:val="00874CAD"/>
    <w:rsid w:val="00875B91"/>
    <w:rsid w:val="00876D19"/>
    <w:rsid w:val="00876E38"/>
    <w:rsid w:val="00877930"/>
    <w:rsid w:val="00877CB1"/>
    <w:rsid w:val="0088024B"/>
    <w:rsid w:val="00880301"/>
    <w:rsid w:val="008805CD"/>
    <w:rsid w:val="008809D3"/>
    <w:rsid w:val="00880A27"/>
    <w:rsid w:val="00880D29"/>
    <w:rsid w:val="0088125D"/>
    <w:rsid w:val="008818B3"/>
    <w:rsid w:val="008821D7"/>
    <w:rsid w:val="00882995"/>
    <w:rsid w:val="0088427F"/>
    <w:rsid w:val="008848A7"/>
    <w:rsid w:val="00885516"/>
    <w:rsid w:val="00886B2E"/>
    <w:rsid w:val="00886EC4"/>
    <w:rsid w:val="00887EB1"/>
    <w:rsid w:val="00890C72"/>
    <w:rsid w:val="008914A8"/>
    <w:rsid w:val="008917B3"/>
    <w:rsid w:val="00891A6F"/>
    <w:rsid w:val="00893194"/>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8C1"/>
    <w:rsid w:val="008A3909"/>
    <w:rsid w:val="008A3A32"/>
    <w:rsid w:val="008A3B8A"/>
    <w:rsid w:val="008A45C9"/>
    <w:rsid w:val="008A4F8F"/>
    <w:rsid w:val="008A60D5"/>
    <w:rsid w:val="008A6336"/>
    <w:rsid w:val="008A652D"/>
    <w:rsid w:val="008A6630"/>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C7AA4"/>
    <w:rsid w:val="008D0327"/>
    <w:rsid w:val="008D0369"/>
    <w:rsid w:val="008D0A8A"/>
    <w:rsid w:val="008D179B"/>
    <w:rsid w:val="008D5190"/>
    <w:rsid w:val="008E1AC0"/>
    <w:rsid w:val="008E1D60"/>
    <w:rsid w:val="008E34AB"/>
    <w:rsid w:val="008E405F"/>
    <w:rsid w:val="008E5132"/>
    <w:rsid w:val="008E57D5"/>
    <w:rsid w:val="008E581A"/>
    <w:rsid w:val="008E5E89"/>
    <w:rsid w:val="008E663D"/>
    <w:rsid w:val="008E66CD"/>
    <w:rsid w:val="008E6E61"/>
    <w:rsid w:val="008E788D"/>
    <w:rsid w:val="008E7AFA"/>
    <w:rsid w:val="008E7D8C"/>
    <w:rsid w:val="008F134F"/>
    <w:rsid w:val="008F14CB"/>
    <w:rsid w:val="008F199A"/>
    <w:rsid w:val="008F1C3F"/>
    <w:rsid w:val="008F352A"/>
    <w:rsid w:val="008F36F8"/>
    <w:rsid w:val="008F3D44"/>
    <w:rsid w:val="008F3FA3"/>
    <w:rsid w:val="008F442D"/>
    <w:rsid w:val="008F4460"/>
    <w:rsid w:val="008F57B6"/>
    <w:rsid w:val="008F5A72"/>
    <w:rsid w:val="008F6FBE"/>
    <w:rsid w:val="008F7862"/>
    <w:rsid w:val="00900484"/>
    <w:rsid w:val="0090068F"/>
    <w:rsid w:val="00901B5C"/>
    <w:rsid w:val="00901D08"/>
    <w:rsid w:val="00902250"/>
    <w:rsid w:val="00902381"/>
    <w:rsid w:val="0090307F"/>
    <w:rsid w:val="00903A41"/>
    <w:rsid w:val="00904444"/>
    <w:rsid w:val="00904DC4"/>
    <w:rsid w:val="00906739"/>
    <w:rsid w:val="00907432"/>
    <w:rsid w:val="00907511"/>
    <w:rsid w:val="00907C82"/>
    <w:rsid w:val="00910564"/>
    <w:rsid w:val="009107E2"/>
    <w:rsid w:val="00910A68"/>
    <w:rsid w:val="00910DCA"/>
    <w:rsid w:val="009110EE"/>
    <w:rsid w:val="009113BB"/>
    <w:rsid w:val="00911405"/>
    <w:rsid w:val="009121B8"/>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379E4"/>
    <w:rsid w:val="00940263"/>
    <w:rsid w:val="009434A9"/>
    <w:rsid w:val="0094353F"/>
    <w:rsid w:val="00943FBF"/>
    <w:rsid w:val="00945506"/>
    <w:rsid w:val="0094597A"/>
    <w:rsid w:val="009459A7"/>
    <w:rsid w:val="00946228"/>
    <w:rsid w:val="00946493"/>
    <w:rsid w:val="009471CE"/>
    <w:rsid w:val="009476B2"/>
    <w:rsid w:val="00947F9C"/>
    <w:rsid w:val="00950B73"/>
    <w:rsid w:val="00951440"/>
    <w:rsid w:val="00951443"/>
    <w:rsid w:val="00951D10"/>
    <w:rsid w:val="00951DF4"/>
    <w:rsid w:val="00953B40"/>
    <w:rsid w:val="00953FC9"/>
    <w:rsid w:val="009542CA"/>
    <w:rsid w:val="009547BD"/>
    <w:rsid w:val="00957036"/>
    <w:rsid w:val="009602FA"/>
    <w:rsid w:val="0096298F"/>
    <w:rsid w:val="00962E3B"/>
    <w:rsid w:val="0096438E"/>
    <w:rsid w:val="00965147"/>
    <w:rsid w:val="00965204"/>
    <w:rsid w:val="009653E3"/>
    <w:rsid w:val="00966BA0"/>
    <w:rsid w:val="00967039"/>
    <w:rsid w:val="00970847"/>
    <w:rsid w:val="0097117D"/>
    <w:rsid w:val="009712C2"/>
    <w:rsid w:val="0097130E"/>
    <w:rsid w:val="0097181C"/>
    <w:rsid w:val="0097197F"/>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56C5"/>
    <w:rsid w:val="009872C4"/>
    <w:rsid w:val="00987B7F"/>
    <w:rsid w:val="0099003F"/>
    <w:rsid w:val="00990A9D"/>
    <w:rsid w:val="009912F6"/>
    <w:rsid w:val="00991833"/>
    <w:rsid w:val="009926E0"/>
    <w:rsid w:val="00993E2C"/>
    <w:rsid w:val="00996074"/>
    <w:rsid w:val="00996612"/>
    <w:rsid w:val="009A041F"/>
    <w:rsid w:val="009A1DBB"/>
    <w:rsid w:val="009A1EC3"/>
    <w:rsid w:val="009A2249"/>
    <w:rsid w:val="009A2AF3"/>
    <w:rsid w:val="009A409E"/>
    <w:rsid w:val="009A43BE"/>
    <w:rsid w:val="009A4D1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6B76"/>
    <w:rsid w:val="009E7CFB"/>
    <w:rsid w:val="009F1489"/>
    <w:rsid w:val="009F1AF6"/>
    <w:rsid w:val="009F1CB5"/>
    <w:rsid w:val="009F2709"/>
    <w:rsid w:val="009F36A0"/>
    <w:rsid w:val="009F44C6"/>
    <w:rsid w:val="009F484D"/>
    <w:rsid w:val="009F600F"/>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6D6"/>
    <w:rsid w:val="00A14960"/>
    <w:rsid w:val="00A14CF0"/>
    <w:rsid w:val="00A153CA"/>
    <w:rsid w:val="00A16613"/>
    <w:rsid w:val="00A20AD1"/>
    <w:rsid w:val="00A20F3A"/>
    <w:rsid w:val="00A21B50"/>
    <w:rsid w:val="00A229C1"/>
    <w:rsid w:val="00A2331B"/>
    <w:rsid w:val="00A24F3D"/>
    <w:rsid w:val="00A25980"/>
    <w:rsid w:val="00A26069"/>
    <w:rsid w:val="00A276CB"/>
    <w:rsid w:val="00A31463"/>
    <w:rsid w:val="00A31FF1"/>
    <w:rsid w:val="00A32168"/>
    <w:rsid w:val="00A3261C"/>
    <w:rsid w:val="00A33525"/>
    <w:rsid w:val="00A34537"/>
    <w:rsid w:val="00A35143"/>
    <w:rsid w:val="00A35C51"/>
    <w:rsid w:val="00A36E81"/>
    <w:rsid w:val="00A36F79"/>
    <w:rsid w:val="00A37035"/>
    <w:rsid w:val="00A40198"/>
    <w:rsid w:val="00A43009"/>
    <w:rsid w:val="00A4334C"/>
    <w:rsid w:val="00A438F6"/>
    <w:rsid w:val="00A43BF0"/>
    <w:rsid w:val="00A43EB7"/>
    <w:rsid w:val="00A44C32"/>
    <w:rsid w:val="00A44C7F"/>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31A"/>
    <w:rsid w:val="00A60BBA"/>
    <w:rsid w:val="00A60CA6"/>
    <w:rsid w:val="00A623F7"/>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516"/>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64C"/>
    <w:rsid w:val="00AB2E3D"/>
    <w:rsid w:val="00AB317F"/>
    <w:rsid w:val="00AB34CE"/>
    <w:rsid w:val="00AB3711"/>
    <w:rsid w:val="00AB39C6"/>
    <w:rsid w:val="00AB3ABD"/>
    <w:rsid w:val="00AB419F"/>
    <w:rsid w:val="00AB553F"/>
    <w:rsid w:val="00AB6415"/>
    <w:rsid w:val="00AB65F4"/>
    <w:rsid w:val="00AB7A0C"/>
    <w:rsid w:val="00AC0D2B"/>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5F97"/>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6757"/>
    <w:rsid w:val="00B0742A"/>
    <w:rsid w:val="00B07479"/>
    <w:rsid w:val="00B07E59"/>
    <w:rsid w:val="00B1056D"/>
    <w:rsid w:val="00B12547"/>
    <w:rsid w:val="00B127F2"/>
    <w:rsid w:val="00B1330D"/>
    <w:rsid w:val="00B13825"/>
    <w:rsid w:val="00B155D4"/>
    <w:rsid w:val="00B15B1E"/>
    <w:rsid w:val="00B16124"/>
    <w:rsid w:val="00B17462"/>
    <w:rsid w:val="00B17DCE"/>
    <w:rsid w:val="00B20619"/>
    <w:rsid w:val="00B20FCF"/>
    <w:rsid w:val="00B21F8F"/>
    <w:rsid w:val="00B2241E"/>
    <w:rsid w:val="00B23CBB"/>
    <w:rsid w:val="00B25859"/>
    <w:rsid w:val="00B259D5"/>
    <w:rsid w:val="00B26370"/>
    <w:rsid w:val="00B2721F"/>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095B"/>
    <w:rsid w:val="00B411E1"/>
    <w:rsid w:val="00B41B9E"/>
    <w:rsid w:val="00B421EA"/>
    <w:rsid w:val="00B43AA2"/>
    <w:rsid w:val="00B43E50"/>
    <w:rsid w:val="00B443A0"/>
    <w:rsid w:val="00B44433"/>
    <w:rsid w:val="00B44812"/>
    <w:rsid w:val="00B46188"/>
    <w:rsid w:val="00B46F26"/>
    <w:rsid w:val="00B470FE"/>
    <w:rsid w:val="00B47CB6"/>
    <w:rsid w:val="00B50D1F"/>
    <w:rsid w:val="00B514F1"/>
    <w:rsid w:val="00B51CB4"/>
    <w:rsid w:val="00B52DDB"/>
    <w:rsid w:val="00B53269"/>
    <w:rsid w:val="00B533C5"/>
    <w:rsid w:val="00B53736"/>
    <w:rsid w:val="00B54074"/>
    <w:rsid w:val="00B54C10"/>
    <w:rsid w:val="00B55161"/>
    <w:rsid w:val="00B55ADA"/>
    <w:rsid w:val="00B56422"/>
    <w:rsid w:val="00B56C71"/>
    <w:rsid w:val="00B56F07"/>
    <w:rsid w:val="00B572F9"/>
    <w:rsid w:val="00B57C2F"/>
    <w:rsid w:val="00B600C6"/>
    <w:rsid w:val="00B61D8E"/>
    <w:rsid w:val="00B61F26"/>
    <w:rsid w:val="00B6324C"/>
    <w:rsid w:val="00B6388E"/>
    <w:rsid w:val="00B63FB6"/>
    <w:rsid w:val="00B6404F"/>
    <w:rsid w:val="00B64E2C"/>
    <w:rsid w:val="00B657ED"/>
    <w:rsid w:val="00B70610"/>
    <w:rsid w:val="00B70825"/>
    <w:rsid w:val="00B71185"/>
    <w:rsid w:val="00B7155B"/>
    <w:rsid w:val="00B72104"/>
    <w:rsid w:val="00B72B0A"/>
    <w:rsid w:val="00B731A3"/>
    <w:rsid w:val="00B73329"/>
    <w:rsid w:val="00B7342B"/>
    <w:rsid w:val="00B73C87"/>
    <w:rsid w:val="00B74B2C"/>
    <w:rsid w:val="00B76297"/>
    <w:rsid w:val="00B76757"/>
    <w:rsid w:val="00B7686D"/>
    <w:rsid w:val="00B80618"/>
    <w:rsid w:val="00B80824"/>
    <w:rsid w:val="00B80B18"/>
    <w:rsid w:val="00B828C8"/>
    <w:rsid w:val="00B8300F"/>
    <w:rsid w:val="00B837F0"/>
    <w:rsid w:val="00B847E7"/>
    <w:rsid w:val="00B84DF2"/>
    <w:rsid w:val="00B84FA7"/>
    <w:rsid w:val="00B8588D"/>
    <w:rsid w:val="00B868FA"/>
    <w:rsid w:val="00B87387"/>
    <w:rsid w:val="00B91CA1"/>
    <w:rsid w:val="00B91EB5"/>
    <w:rsid w:val="00B92BF2"/>
    <w:rsid w:val="00B94BC5"/>
    <w:rsid w:val="00B94CD3"/>
    <w:rsid w:val="00B95DDD"/>
    <w:rsid w:val="00B965C1"/>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34AA"/>
    <w:rsid w:val="00BB4705"/>
    <w:rsid w:val="00BB4771"/>
    <w:rsid w:val="00BB4853"/>
    <w:rsid w:val="00BB50AB"/>
    <w:rsid w:val="00BB5F0F"/>
    <w:rsid w:val="00BB6CF8"/>
    <w:rsid w:val="00BB6DF0"/>
    <w:rsid w:val="00BB6FB2"/>
    <w:rsid w:val="00BB77DF"/>
    <w:rsid w:val="00BC02E3"/>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E683A"/>
    <w:rsid w:val="00BF1B39"/>
    <w:rsid w:val="00BF3654"/>
    <w:rsid w:val="00BF383B"/>
    <w:rsid w:val="00BF4288"/>
    <w:rsid w:val="00BF4A10"/>
    <w:rsid w:val="00BF7B98"/>
    <w:rsid w:val="00C013D8"/>
    <w:rsid w:val="00C027BA"/>
    <w:rsid w:val="00C03139"/>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116"/>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0C5E"/>
    <w:rsid w:val="00C50D8F"/>
    <w:rsid w:val="00C51977"/>
    <w:rsid w:val="00C51FCA"/>
    <w:rsid w:val="00C55AD3"/>
    <w:rsid w:val="00C56A8D"/>
    <w:rsid w:val="00C56CB6"/>
    <w:rsid w:val="00C56E44"/>
    <w:rsid w:val="00C6077A"/>
    <w:rsid w:val="00C6158E"/>
    <w:rsid w:val="00C629A1"/>
    <w:rsid w:val="00C629E6"/>
    <w:rsid w:val="00C65534"/>
    <w:rsid w:val="00C663A9"/>
    <w:rsid w:val="00C66439"/>
    <w:rsid w:val="00C67398"/>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9F1"/>
    <w:rsid w:val="00C83D33"/>
    <w:rsid w:val="00C83F00"/>
    <w:rsid w:val="00C8411A"/>
    <w:rsid w:val="00C84163"/>
    <w:rsid w:val="00C84F37"/>
    <w:rsid w:val="00C8611F"/>
    <w:rsid w:val="00C865AE"/>
    <w:rsid w:val="00C86759"/>
    <w:rsid w:val="00C87869"/>
    <w:rsid w:val="00C879D5"/>
    <w:rsid w:val="00C90CFC"/>
    <w:rsid w:val="00C90FA7"/>
    <w:rsid w:val="00C917F4"/>
    <w:rsid w:val="00C9348E"/>
    <w:rsid w:val="00C94570"/>
    <w:rsid w:val="00C94A9E"/>
    <w:rsid w:val="00C94FBB"/>
    <w:rsid w:val="00C95A60"/>
    <w:rsid w:val="00C95FAE"/>
    <w:rsid w:val="00C96BE9"/>
    <w:rsid w:val="00C9726C"/>
    <w:rsid w:val="00C972B0"/>
    <w:rsid w:val="00CA1D51"/>
    <w:rsid w:val="00CA1E5A"/>
    <w:rsid w:val="00CA2350"/>
    <w:rsid w:val="00CA41C7"/>
    <w:rsid w:val="00CA471B"/>
    <w:rsid w:val="00CA4D94"/>
    <w:rsid w:val="00CA5471"/>
    <w:rsid w:val="00CA6841"/>
    <w:rsid w:val="00CA75A7"/>
    <w:rsid w:val="00CA7C71"/>
    <w:rsid w:val="00CB01FA"/>
    <w:rsid w:val="00CB21AB"/>
    <w:rsid w:val="00CB31E3"/>
    <w:rsid w:val="00CB42ED"/>
    <w:rsid w:val="00CB4607"/>
    <w:rsid w:val="00CB4665"/>
    <w:rsid w:val="00CB55BD"/>
    <w:rsid w:val="00CB654B"/>
    <w:rsid w:val="00CB70C5"/>
    <w:rsid w:val="00CB71CB"/>
    <w:rsid w:val="00CB7EDF"/>
    <w:rsid w:val="00CC03C0"/>
    <w:rsid w:val="00CC0731"/>
    <w:rsid w:val="00CC200E"/>
    <w:rsid w:val="00CC22BA"/>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950"/>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4CED"/>
    <w:rsid w:val="00CE614A"/>
    <w:rsid w:val="00CE61B4"/>
    <w:rsid w:val="00CE699A"/>
    <w:rsid w:val="00CE6C28"/>
    <w:rsid w:val="00CE6C47"/>
    <w:rsid w:val="00CE72A4"/>
    <w:rsid w:val="00CF04F8"/>
    <w:rsid w:val="00CF05C0"/>
    <w:rsid w:val="00CF0F92"/>
    <w:rsid w:val="00CF187D"/>
    <w:rsid w:val="00CF282D"/>
    <w:rsid w:val="00CF3141"/>
    <w:rsid w:val="00CF3714"/>
    <w:rsid w:val="00CF5A85"/>
    <w:rsid w:val="00CF635D"/>
    <w:rsid w:val="00D0257D"/>
    <w:rsid w:val="00D0391A"/>
    <w:rsid w:val="00D0400F"/>
    <w:rsid w:val="00D05D91"/>
    <w:rsid w:val="00D06782"/>
    <w:rsid w:val="00D06DDB"/>
    <w:rsid w:val="00D0752F"/>
    <w:rsid w:val="00D0773B"/>
    <w:rsid w:val="00D1099F"/>
    <w:rsid w:val="00D10B65"/>
    <w:rsid w:val="00D11A6F"/>
    <w:rsid w:val="00D11BE8"/>
    <w:rsid w:val="00D12E05"/>
    <w:rsid w:val="00D13FBF"/>
    <w:rsid w:val="00D1409E"/>
    <w:rsid w:val="00D14589"/>
    <w:rsid w:val="00D14F3C"/>
    <w:rsid w:val="00D15575"/>
    <w:rsid w:val="00D157E3"/>
    <w:rsid w:val="00D17328"/>
    <w:rsid w:val="00D174EE"/>
    <w:rsid w:val="00D20544"/>
    <w:rsid w:val="00D21BAF"/>
    <w:rsid w:val="00D22506"/>
    <w:rsid w:val="00D2258C"/>
    <w:rsid w:val="00D23212"/>
    <w:rsid w:val="00D23539"/>
    <w:rsid w:val="00D246D8"/>
    <w:rsid w:val="00D2476E"/>
    <w:rsid w:val="00D24E4D"/>
    <w:rsid w:val="00D24EA0"/>
    <w:rsid w:val="00D24F81"/>
    <w:rsid w:val="00D25199"/>
    <w:rsid w:val="00D25805"/>
    <w:rsid w:val="00D26345"/>
    <w:rsid w:val="00D264A3"/>
    <w:rsid w:val="00D26E09"/>
    <w:rsid w:val="00D26F40"/>
    <w:rsid w:val="00D2718F"/>
    <w:rsid w:val="00D277FE"/>
    <w:rsid w:val="00D279EF"/>
    <w:rsid w:val="00D308E2"/>
    <w:rsid w:val="00D318FE"/>
    <w:rsid w:val="00D31C23"/>
    <w:rsid w:val="00D32053"/>
    <w:rsid w:val="00D341F5"/>
    <w:rsid w:val="00D342F2"/>
    <w:rsid w:val="00D3436D"/>
    <w:rsid w:val="00D34DD9"/>
    <w:rsid w:val="00D35009"/>
    <w:rsid w:val="00D3558D"/>
    <w:rsid w:val="00D36876"/>
    <w:rsid w:val="00D36A90"/>
    <w:rsid w:val="00D3742E"/>
    <w:rsid w:val="00D40C5E"/>
    <w:rsid w:val="00D4129A"/>
    <w:rsid w:val="00D41800"/>
    <w:rsid w:val="00D41813"/>
    <w:rsid w:val="00D41923"/>
    <w:rsid w:val="00D42449"/>
    <w:rsid w:val="00D4336C"/>
    <w:rsid w:val="00D43C7E"/>
    <w:rsid w:val="00D43CD7"/>
    <w:rsid w:val="00D44B8F"/>
    <w:rsid w:val="00D44C35"/>
    <w:rsid w:val="00D44EBE"/>
    <w:rsid w:val="00D44EDA"/>
    <w:rsid w:val="00D45283"/>
    <w:rsid w:val="00D45C1E"/>
    <w:rsid w:val="00D45DF3"/>
    <w:rsid w:val="00D46094"/>
    <w:rsid w:val="00D4714A"/>
    <w:rsid w:val="00D5098D"/>
    <w:rsid w:val="00D50A30"/>
    <w:rsid w:val="00D513D9"/>
    <w:rsid w:val="00D51775"/>
    <w:rsid w:val="00D517B8"/>
    <w:rsid w:val="00D52508"/>
    <w:rsid w:val="00D52AED"/>
    <w:rsid w:val="00D5300C"/>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6670E"/>
    <w:rsid w:val="00D70468"/>
    <w:rsid w:val="00D713C2"/>
    <w:rsid w:val="00D720E9"/>
    <w:rsid w:val="00D7464D"/>
    <w:rsid w:val="00D75F25"/>
    <w:rsid w:val="00D76215"/>
    <w:rsid w:val="00D764EC"/>
    <w:rsid w:val="00D76BC3"/>
    <w:rsid w:val="00D773C7"/>
    <w:rsid w:val="00D80FCB"/>
    <w:rsid w:val="00D8123D"/>
    <w:rsid w:val="00D8214C"/>
    <w:rsid w:val="00D82579"/>
    <w:rsid w:val="00D82993"/>
    <w:rsid w:val="00D8335C"/>
    <w:rsid w:val="00D8355A"/>
    <w:rsid w:val="00D835D9"/>
    <w:rsid w:val="00D83607"/>
    <w:rsid w:val="00D84DE2"/>
    <w:rsid w:val="00D84E09"/>
    <w:rsid w:val="00D87323"/>
    <w:rsid w:val="00D90B8F"/>
    <w:rsid w:val="00D90BFF"/>
    <w:rsid w:val="00D90D01"/>
    <w:rsid w:val="00D90E67"/>
    <w:rsid w:val="00D910C6"/>
    <w:rsid w:val="00D929EB"/>
    <w:rsid w:val="00D9428B"/>
    <w:rsid w:val="00D94D31"/>
    <w:rsid w:val="00D95FEC"/>
    <w:rsid w:val="00D960EA"/>
    <w:rsid w:val="00D966A7"/>
    <w:rsid w:val="00D96A85"/>
    <w:rsid w:val="00DA0A46"/>
    <w:rsid w:val="00DA1E9F"/>
    <w:rsid w:val="00DA2538"/>
    <w:rsid w:val="00DA3385"/>
    <w:rsid w:val="00DA35BA"/>
    <w:rsid w:val="00DA4525"/>
    <w:rsid w:val="00DA4E7B"/>
    <w:rsid w:val="00DA5137"/>
    <w:rsid w:val="00DA5DD1"/>
    <w:rsid w:val="00DA6443"/>
    <w:rsid w:val="00DA69A2"/>
    <w:rsid w:val="00DA6ECE"/>
    <w:rsid w:val="00DA6FA4"/>
    <w:rsid w:val="00DA7F56"/>
    <w:rsid w:val="00DB044A"/>
    <w:rsid w:val="00DB07D7"/>
    <w:rsid w:val="00DB1C45"/>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3AEE"/>
    <w:rsid w:val="00DC3CCE"/>
    <w:rsid w:val="00DC425C"/>
    <w:rsid w:val="00DC5E26"/>
    <w:rsid w:val="00DC6B5D"/>
    <w:rsid w:val="00DC7A18"/>
    <w:rsid w:val="00DC7BA1"/>
    <w:rsid w:val="00DD3228"/>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E6B65"/>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1BD3"/>
    <w:rsid w:val="00E12032"/>
    <w:rsid w:val="00E127A3"/>
    <w:rsid w:val="00E139FD"/>
    <w:rsid w:val="00E13BD8"/>
    <w:rsid w:val="00E148BF"/>
    <w:rsid w:val="00E15539"/>
    <w:rsid w:val="00E15878"/>
    <w:rsid w:val="00E15B56"/>
    <w:rsid w:val="00E1661C"/>
    <w:rsid w:val="00E17B17"/>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9C3"/>
    <w:rsid w:val="00E47C15"/>
    <w:rsid w:val="00E47DC8"/>
    <w:rsid w:val="00E50460"/>
    <w:rsid w:val="00E50B70"/>
    <w:rsid w:val="00E50CA6"/>
    <w:rsid w:val="00E50CDB"/>
    <w:rsid w:val="00E52A1B"/>
    <w:rsid w:val="00E53D7B"/>
    <w:rsid w:val="00E542FC"/>
    <w:rsid w:val="00E544FB"/>
    <w:rsid w:val="00E56005"/>
    <w:rsid w:val="00E57F86"/>
    <w:rsid w:val="00E60296"/>
    <w:rsid w:val="00E60420"/>
    <w:rsid w:val="00E606B9"/>
    <w:rsid w:val="00E618B1"/>
    <w:rsid w:val="00E62331"/>
    <w:rsid w:val="00E636E8"/>
    <w:rsid w:val="00E64148"/>
    <w:rsid w:val="00E64936"/>
    <w:rsid w:val="00E649DB"/>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48F0"/>
    <w:rsid w:val="00E74AAE"/>
    <w:rsid w:val="00E75E99"/>
    <w:rsid w:val="00E76259"/>
    <w:rsid w:val="00E768F3"/>
    <w:rsid w:val="00E776E6"/>
    <w:rsid w:val="00E77A1C"/>
    <w:rsid w:val="00E812F8"/>
    <w:rsid w:val="00E81CF5"/>
    <w:rsid w:val="00E81FDB"/>
    <w:rsid w:val="00E82696"/>
    <w:rsid w:val="00E82938"/>
    <w:rsid w:val="00E8320D"/>
    <w:rsid w:val="00E83251"/>
    <w:rsid w:val="00E83740"/>
    <w:rsid w:val="00E85010"/>
    <w:rsid w:val="00E86EEF"/>
    <w:rsid w:val="00E8724F"/>
    <w:rsid w:val="00E8783C"/>
    <w:rsid w:val="00E878CC"/>
    <w:rsid w:val="00E91215"/>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B7992"/>
    <w:rsid w:val="00EC021D"/>
    <w:rsid w:val="00EC04DE"/>
    <w:rsid w:val="00EC0569"/>
    <w:rsid w:val="00EC0AD5"/>
    <w:rsid w:val="00EC0C58"/>
    <w:rsid w:val="00EC0DFC"/>
    <w:rsid w:val="00EC1499"/>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1B5"/>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667A"/>
    <w:rsid w:val="00EF7318"/>
    <w:rsid w:val="00F01171"/>
    <w:rsid w:val="00F014CF"/>
    <w:rsid w:val="00F01BD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414A"/>
    <w:rsid w:val="00F25C71"/>
    <w:rsid w:val="00F25D14"/>
    <w:rsid w:val="00F25EAF"/>
    <w:rsid w:val="00F308AA"/>
    <w:rsid w:val="00F312B5"/>
    <w:rsid w:val="00F31402"/>
    <w:rsid w:val="00F3177E"/>
    <w:rsid w:val="00F31BD9"/>
    <w:rsid w:val="00F31F98"/>
    <w:rsid w:val="00F33CFD"/>
    <w:rsid w:val="00F344FC"/>
    <w:rsid w:val="00F34E71"/>
    <w:rsid w:val="00F35F22"/>
    <w:rsid w:val="00F36003"/>
    <w:rsid w:val="00F3652A"/>
    <w:rsid w:val="00F36BDE"/>
    <w:rsid w:val="00F36EB9"/>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20F2"/>
    <w:rsid w:val="00F636DD"/>
    <w:rsid w:val="00F63D52"/>
    <w:rsid w:val="00F63E00"/>
    <w:rsid w:val="00F6409F"/>
    <w:rsid w:val="00F64251"/>
    <w:rsid w:val="00F646C8"/>
    <w:rsid w:val="00F64752"/>
    <w:rsid w:val="00F648B9"/>
    <w:rsid w:val="00F6494E"/>
    <w:rsid w:val="00F64BD3"/>
    <w:rsid w:val="00F64C01"/>
    <w:rsid w:val="00F6531B"/>
    <w:rsid w:val="00F700E2"/>
    <w:rsid w:val="00F70BEB"/>
    <w:rsid w:val="00F73191"/>
    <w:rsid w:val="00F73A7C"/>
    <w:rsid w:val="00F74672"/>
    <w:rsid w:val="00F75112"/>
    <w:rsid w:val="00F7678F"/>
    <w:rsid w:val="00F767E9"/>
    <w:rsid w:val="00F76EB6"/>
    <w:rsid w:val="00F770EC"/>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2985"/>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39C3"/>
    <w:rsid w:val="00FC4967"/>
    <w:rsid w:val="00FC57C7"/>
    <w:rsid w:val="00FC5C46"/>
    <w:rsid w:val="00FC624D"/>
    <w:rsid w:val="00FC6278"/>
    <w:rsid w:val="00FC6EE1"/>
    <w:rsid w:val="00FD0CB4"/>
    <w:rsid w:val="00FD1D22"/>
    <w:rsid w:val="00FD29DA"/>
    <w:rsid w:val="00FD5078"/>
    <w:rsid w:val="00FD57CA"/>
    <w:rsid w:val="00FD584A"/>
    <w:rsid w:val="00FD6F67"/>
    <w:rsid w:val="00FD7B73"/>
    <w:rsid w:val="00FE0452"/>
    <w:rsid w:val="00FE088A"/>
    <w:rsid w:val="00FE0C73"/>
    <w:rsid w:val="00FE1EC1"/>
    <w:rsid w:val="00FE26D1"/>
    <w:rsid w:val="00FE2D77"/>
    <w:rsid w:val="00FE3076"/>
    <w:rsid w:val="00FE440A"/>
    <w:rsid w:val="00FE4DB8"/>
    <w:rsid w:val="00FE61DA"/>
    <w:rsid w:val="00FE62D2"/>
    <w:rsid w:val="00FE6703"/>
    <w:rsid w:val="00FE6FD0"/>
    <w:rsid w:val="00FF1C9D"/>
    <w:rsid w:val="00FF214E"/>
    <w:rsid w:val="00FF2284"/>
    <w:rsid w:val="00FF304A"/>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15:docId w15:val="{7D90DD40-D875-4920-9853-FB0D34245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1"/>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2"/>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B4095B"/>
    <w:rPr>
      <w:rFonts w:ascii="Calibri" w:eastAsia="Times New Roman" w:hAnsi="Calibri" w:cs="Calibri"/>
      <w:sz w:val="22"/>
      <w:szCs w:val="22"/>
      <w:lang w:val="en-GB" w:eastAsia="zh-CN"/>
    </w:rPr>
  </w:style>
  <w:style w:type="character" w:customStyle="1" w:styleId="TACChar">
    <w:name w:val="TAC Char"/>
    <w:link w:val="TAC"/>
    <w:rsid w:val="00D15575"/>
    <w:rPr>
      <w:rFonts w:ascii="Arial" w:eastAsia="Times New Roman" w:hAnsi="Arial"/>
      <w:sz w:val="18"/>
      <w:lang w:val="en-GB"/>
    </w:rPr>
  </w:style>
  <w:style w:type="character" w:customStyle="1" w:styleId="TAHCar">
    <w:name w:val="TAH Car"/>
    <w:link w:val="TAH"/>
    <w:qFormat/>
    <w:rsid w:val="00D15575"/>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99781249">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55288242">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7585020">
      <w:bodyDiv w:val="1"/>
      <w:marLeft w:val="0"/>
      <w:marRight w:val="0"/>
      <w:marTop w:val="0"/>
      <w:marBottom w:val="0"/>
      <w:divBdr>
        <w:top w:val="none" w:sz="0" w:space="0" w:color="auto"/>
        <w:left w:val="none" w:sz="0" w:space="0" w:color="auto"/>
        <w:bottom w:val="none" w:sz="0" w:space="0" w:color="auto"/>
        <w:right w:val="none" w:sz="0" w:space="0" w:color="auto"/>
      </w:divBdr>
      <w:divsChild>
        <w:div w:id="19017846">
          <w:marLeft w:val="1166"/>
          <w:marRight w:val="0"/>
          <w:marTop w:val="86"/>
          <w:marBottom w:val="0"/>
          <w:divBdr>
            <w:top w:val="none" w:sz="0" w:space="0" w:color="auto"/>
            <w:left w:val="none" w:sz="0" w:space="0" w:color="auto"/>
            <w:bottom w:val="none" w:sz="0" w:space="0" w:color="auto"/>
            <w:right w:val="none" w:sz="0" w:space="0" w:color="auto"/>
          </w:divBdr>
        </w:div>
        <w:div w:id="131942429">
          <w:marLeft w:val="1800"/>
          <w:marRight w:val="0"/>
          <w:marTop w:val="86"/>
          <w:marBottom w:val="0"/>
          <w:divBdr>
            <w:top w:val="none" w:sz="0" w:space="0" w:color="auto"/>
            <w:left w:val="none" w:sz="0" w:space="0" w:color="auto"/>
            <w:bottom w:val="none" w:sz="0" w:space="0" w:color="auto"/>
            <w:right w:val="none" w:sz="0" w:space="0" w:color="auto"/>
          </w:divBdr>
        </w:div>
        <w:div w:id="324018136">
          <w:marLeft w:val="2520"/>
          <w:marRight w:val="0"/>
          <w:marTop w:val="86"/>
          <w:marBottom w:val="0"/>
          <w:divBdr>
            <w:top w:val="none" w:sz="0" w:space="0" w:color="auto"/>
            <w:left w:val="none" w:sz="0" w:space="0" w:color="auto"/>
            <w:bottom w:val="none" w:sz="0" w:space="0" w:color="auto"/>
            <w:right w:val="none" w:sz="0" w:space="0" w:color="auto"/>
          </w:divBdr>
        </w:div>
      </w:divsChild>
    </w:div>
    <w:div w:id="75694848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309478580">
      <w:bodyDiv w:val="1"/>
      <w:marLeft w:val="0"/>
      <w:marRight w:val="0"/>
      <w:marTop w:val="0"/>
      <w:marBottom w:val="0"/>
      <w:divBdr>
        <w:top w:val="none" w:sz="0" w:space="0" w:color="auto"/>
        <w:left w:val="none" w:sz="0" w:space="0" w:color="auto"/>
        <w:bottom w:val="none" w:sz="0" w:space="0" w:color="auto"/>
        <w:right w:val="none" w:sz="0" w:space="0" w:color="auto"/>
      </w:divBdr>
    </w:div>
    <w:div w:id="1323973412">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75240173">
      <w:bodyDiv w:val="1"/>
      <w:marLeft w:val="0"/>
      <w:marRight w:val="0"/>
      <w:marTop w:val="0"/>
      <w:marBottom w:val="0"/>
      <w:divBdr>
        <w:top w:val="none" w:sz="0" w:space="0" w:color="auto"/>
        <w:left w:val="none" w:sz="0" w:space="0" w:color="auto"/>
        <w:bottom w:val="none" w:sz="0" w:space="0" w:color="auto"/>
        <w:right w:val="none" w:sz="0" w:space="0" w:color="auto"/>
      </w:divBdr>
      <w:divsChild>
        <w:div w:id="1846624099">
          <w:marLeft w:val="547"/>
          <w:marRight w:val="0"/>
          <w:marTop w:val="86"/>
          <w:marBottom w:val="0"/>
          <w:divBdr>
            <w:top w:val="none" w:sz="0" w:space="0" w:color="auto"/>
            <w:left w:val="none" w:sz="0" w:space="0" w:color="auto"/>
            <w:bottom w:val="none" w:sz="0" w:space="0" w:color="auto"/>
            <w:right w:val="none" w:sz="0" w:space="0" w:color="auto"/>
          </w:divBdr>
        </w:div>
        <w:div w:id="1496148136">
          <w:marLeft w:val="1166"/>
          <w:marRight w:val="0"/>
          <w:marTop w:val="86"/>
          <w:marBottom w:val="0"/>
          <w:divBdr>
            <w:top w:val="none" w:sz="0" w:space="0" w:color="auto"/>
            <w:left w:val="none" w:sz="0" w:space="0" w:color="auto"/>
            <w:bottom w:val="none" w:sz="0" w:space="0" w:color="auto"/>
            <w:right w:val="none" w:sz="0" w:space="0" w:color="auto"/>
          </w:divBdr>
        </w:div>
        <w:div w:id="284115985">
          <w:marLeft w:val="1800"/>
          <w:marRight w:val="0"/>
          <w:marTop w:val="86"/>
          <w:marBottom w:val="0"/>
          <w:divBdr>
            <w:top w:val="none" w:sz="0" w:space="0" w:color="auto"/>
            <w:left w:val="none" w:sz="0" w:space="0" w:color="auto"/>
            <w:bottom w:val="none" w:sz="0" w:space="0" w:color="auto"/>
            <w:right w:val="none" w:sz="0" w:space="0" w:color="auto"/>
          </w:divBdr>
        </w:div>
      </w:divsChild>
    </w:div>
    <w:div w:id="1786345167">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1FF63-03C0-4F3F-842C-A0B8CBAF4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1354</Words>
  <Characters>7724</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9060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채혁진/책임연구원/차세대표준(연)CAS팀(hyukjin.chae@lge.com)</cp:lastModifiedBy>
  <cp:revision>2</cp:revision>
  <cp:lastPrinted>2012-09-26T11:01:00Z</cp:lastPrinted>
  <dcterms:created xsi:type="dcterms:W3CDTF">2018-08-11T04:47:00Z</dcterms:created>
  <dcterms:modified xsi:type="dcterms:W3CDTF">2018-08-11T04:47:00Z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